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84210" w14:textId="77777777" w:rsidR="003511ED" w:rsidRDefault="003511ED">
      <w:pPr>
        <w:spacing w:line="360" w:lineRule="auto"/>
        <w:jc w:val="both"/>
        <w:rPr>
          <w:b/>
          <w:bCs/>
        </w:rPr>
      </w:pPr>
    </w:p>
    <w:p w14:paraId="52EB28CB" w14:textId="77777777" w:rsidR="003511ED" w:rsidRDefault="00000000">
      <w:pPr>
        <w:spacing w:after="109" w:line="360" w:lineRule="auto"/>
        <w:ind w:left="3357" w:right="14" w:hanging="10"/>
        <w:jc w:val="both"/>
        <w:rPr>
          <w:b/>
          <w:bCs/>
        </w:rPr>
      </w:pPr>
      <w:r>
        <w:rPr>
          <w:b/>
          <w:bCs/>
        </w:rPr>
        <w:t>AMPARO INDIRECTO:</w:t>
      </w:r>
    </w:p>
    <w:p w14:paraId="2288CA71" w14:textId="77777777" w:rsidR="003511ED" w:rsidRDefault="00000000">
      <w:pPr>
        <w:spacing w:after="109" w:line="360" w:lineRule="auto"/>
        <w:ind w:left="3357" w:right="14" w:hanging="10"/>
        <w:jc w:val="both"/>
        <w:rPr>
          <w:b/>
          <w:bCs/>
        </w:rPr>
      </w:pPr>
      <w:r>
        <w:rPr>
          <w:b/>
          <w:bCs/>
        </w:rPr>
        <w:t xml:space="preserve">QUEJOSO: EDUARDO DEL MARTIN ALBOR VILLANUEVA </w:t>
      </w:r>
    </w:p>
    <w:p w14:paraId="74CB0A98" w14:textId="58FC42A6" w:rsidR="003511ED" w:rsidRDefault="00000000">
      <w:pPr>
        <w:spacing w:after="109" w:line="360" w:lineRule="auto"/>
        <w:ind w:left="3357" w:right="14" w:hanging="10"/>
        <w:jc w:val="both"/>
        <w:rPr>
          <w:b/>
          <w:bCs/>
        </w:rPr>
      </w:pPr>
      <w:r>
        <w:rPr>
          <w:b/>
          <w:bCs/>
        </w:rPr>
        <w:t xml:space="preserve">AUTORIDAD RESPONSABLE: </w:t>
      </w:r>
      <w:r w:rsidR="008973FD">
        <w:rPr>
          <w:b/>
          <w:bCs/>
        </w:rPr>
        <w:t>ANGEL ANTONIO UC MAY</w:t>
      </w:r>
      <w:r>
        <w:rPr>
          <w:b/>
          <w:bCs/>
        </w:rPr>
        <w:t>, FISCAL DEL MINISTERIO PÚBLICO DEL FUERO COMÚN ADSCRITO A LA FISCALÍA ESPECIALIZADA EN COMBATE A DELITOS PATRIMONIALES.</w:t>
      </w:r>
    </w:p>
    <w:p w14:paraId="2C62563E" w14:textId="77777777" w:rsidR="003511ED" w:rsidRDefault="00000000">
      <w:pPr>
        <w:spacing w:after="109" w:line="360" w:lineRule="auto"/>
        <w:ind w:left="3357" w:right="14" w:hanging="10"/>
        <w:jc w:val="both"/>
      </w:pPr>
      <w:r>
        <w:rPr>
          <w:b/>
          <w:bCs/>
        </w:rPr>
        <w:t xml:space="preserve">ASUNTO: </w:t>
      </w:r>
      <w:r>
        <w:t>SE INTERPONE DEMANDA DE AMPARO INDIRECTO.</w:t>
      </w:r>
    </w:p>
    <w:p w14:paraId="53934716" w14:textId="77777777" w:rsidR="003511ED" w:rsidRDefault="00000000">
      <w:pPr>
        <w:spacing w:after="109" w:line="250" w:lineRule="auto"/>
        <w:ind w:left="10" w:right="14"/>
        <w:jc w:val="both"/>
        <w:rPr>
          <w:b/>
          <w:bCs/>
        </w:rPr>
      </w:pPr>
      <w:r>
        <w:rPr>
          <w:b/>
          <w:bCs/>
        </w:rPr>
        <w:t>H. JUEZ DE DISTRITO EN TURNO, DEL VIGESIMO SEPTIMO CIRCUITO CON RESIDENCIA EN LA CIUDAD DE CANCUN, QUINTANA ROO.</w:t>
      </w:r>
    </w:p>
    <w:p w14:paraId="541B0A88" w14:textId="77777777" w:rsidR="003511ED" w:rsidRDefault="003511ED">
      <w:pPr>
        <w:spacing w:after="109" w:line="250" w:lineRule="auto"/>
        <w:ind w:left="10" w:right="14"/>
        <w:jc w:val="both"/>
        <w:rPr>
          <w:b/>
          <w:bCs/>
        </w:rPr>
      </w:pPr>
    </w:p>
    <w:p w14:paraId="2C6FE0B2" w14:textId="77777777" w:rsidR="003511ED" w:rsidRDefault="00000000">
      <w:pPr>
        <w:spacing w:after="109" w:line="360" w:lineRule="auto"/>
        <w:ind w:left="10" w:right="14"/>
        <w:jc w:val="both"/>
        <w:rPr>
          <w:b/>
          <w:bCs/>
        </w:rPr>
      </w:pPr>
      <w:r>
        <w:rPr>
          <w:b/>
          <w:bCs/>
        </w:rPr>
        <w:t>PRESENTE.</w:t>
      </w:r>
    </w:p>
    <w:p w14:paraId="5B0BC59C" w14:textId="6E40322A" w:rsidR="003511ED" w:rsidRDefault="00000000">
      <w:pPr>
        <w:spacing w:line="360" w:lineRule="auto"/>
        <w:ind w:firstLine="720"/>
        <w:jc w:val="both"/>
        <w:rPr>
          <w:u w:val="single"/>
        </w:rPr>
      </w:pPr>
      <w:r>
        <w:rPr>
          <w:b/>
          <w:bCs/>
        </w:rPr>
        <w:t>EDUARDO DE MARTIN ALBOR VILLANUEVA</w:t>
      </w:r>
      <w:r>
        <w:t xml:space="preserve">, mexicano, mayor de edad, comparezco ante esta autoridad con la finalidad de interponer mi amparo. </w:t>
      </w:r>
      <w:r w:rsidR="008973FD">
        <w:t>Así</w:t>
      </w:r>
      <w:r>
        <w:t xml:space="preserve"> mismo para efectos de dar cumplimiento a la ley de amparo procedo a señalar lo siguiente:</w:t>
      </w:r>
    </w:p>
    <w:p w14:paraId="6DA8CD4F" w14:textId="77777777" w:rsidR="003511ED" w:rsidRDefault="003511ED">
      <w:pPr>
        <w:spacing w:line="360" w:lineRule="auto"/>
        <w:jc w:val="center"/>
        <w:rPr>
          <w:b/>
          <w:bCs/>
        </w:rPr>
      </w:pPr>
    </w:p>
    <w:p w14:paraId="7FD92F28" w14:textId="77777777" w:rsidR="003511ED" w:rsidRDefault="00000000">
      <w:pPr>
        <w:spacing w:line="360" w:lineRule="auto"/>
        <w:jc w:val="center"/>
        <w:rPr>
          <w:b/>
          <w:bCs/>
        </w:rPr>
      </w:pPr>
      <w:r>
        <w:rPr>
          <w:b/>
          <w:bCs/>
        </w:rPr>
        <w:t xml:space="preserve">AUTORIZADOS EN TÉRMINOS AMPLIOS.   </w:t>
      </w:r>
    </w:p>
    <w:p w14:paraId="49F2FB41" w14:textId="0C5653CD" w:rsidR="003511ED" w:rsidRDefault="00000000">
      <w:pPr>
        <w:spacing w:line="360" w:lineRule="auto"/>
        <w:ind w:firstLine="720"/>
        <w:jc w:val="both"/>
      </w:pPr>
      <w:r>
        <w:t>Con fundamento en lo dispuesto por el artículo 12, primer párrafo, de la Ley de Amparo,</w:t>
      </w:r>
      <w:r>
        <w:rPr>
          <w:vertAlign w:val="superscript"/>
        </w:rPr>
        <w:footnoteReference w:id="1"/>
      </w:r>
      <w:r>
        <w:t xml:space="preserve"> autorizo en términos amplios </w:t>
      </w:r>
      <w:r w:rsidR="008973FD">
        <w:t>al</w:t>
      </w:r>
      <w:r>
        <w:t xml:space="preserve"> licenciado en derecho, licenciado en derecho Álvaro Adrián Pegueros Castillo con número de cédula profesional 14486345, Doctor en Derecho Fidel Gabriel Villanueva Rivero con número de cédula profesional 9380620</w:t>
      </w:r>
      <w:r>
        <w:rPr>
          <w:sz w:val="28"/>
          <w:szCs w:val="28"/>
        </w:rPr>
        <w:t>,</w:t>
      </w:r>
      <w:r>
        <w:t xml:space="preserve"> a la Licenciada María Estefany Arceo Mis con cédula profesional 12732758</w:t>
      </w:r>
      <w:r w:rsidR="008973FD">
        <w:t>,</w:t>
      </w:r>
      <w:r>
        <w:t xml:space="preserve">  al Licenci</w:t>
      </w:r>
      <w:r w:rsidR="008973FD">
        <w:t xml:space="preserve">ado Daniel Ulises Nava López con número de cédula profesional 4463534 y al Licenciado </w:t>
      </w:r>
      <w:r w:rsidR="008973FD" w:rsidRPr="008973FD">
        <w:t>O</w:t>
      </w:r>
      <w:r w:rsidR="008973FD">
        <w:t>ctavio</w:t>
      </w:r>
      <w:r w:rsidR="008973FD" w:rsidRPr="008973FD">
        <w:t xml:space="preserve"> G</w:t>
      </w:r>
      <w:r w:rsidR="008973FD">
        <w:t>omez</w:t>
      </w:r>
      <w:r w:rsidR="008973FD" w:rsidRPr="008973FD">
        <w:t xml:space="preserve"> M</w:t>
      </w:r>
      <w:r w:rsidR="008973FD">
        <w:t xml:space="preserve">aldonado con número de cédula profesional </w:t>
      </w:r>
      <w:r w:rsidR="008973FD" w:rsidRPr="008973FD">
        <w:t>2604056</w:t>
      </w:r>
      <w:r w:rsidRPr="008973FD">
        <w:t>,</w:t>
      </w:r>
      <w:r>
        <w:t xml:space="preserve"> por lo que quedarán facultados para: interponer los recursos que procedan; ofrecer y desahogar pruebas; alegar en las audiencias; solicitar la suspensión o el diferimiento y realizar cualquier acto que resulte necesario para el ejercicio de los derechos de la suscrita, solicitando desde este momento y para todos los efectos legales a que haya lugar.</w:t>
      </w:r>
    </w:p>
    <w:p w14:paraId="099DD1D8" w14:textId="77777777" w:rsidR="003511ED" w:rsidRDefault="003511ED">
      <w:pPr>
        <w:spacing w:line="360" w:lineRule="auto"/>
        <w:rPr>
          <w:b/>
          <w:bCs/>
        </w:rPr>
      </w:pPr>
    </w:p>
    <w:p w14:paraId="06880E29" w14:textId="77777777" w:rsidR="003511ED" w:rsidRDefault="00000000">
      <w:pPr>
        <w:spacing w:line="360" w:lineRule="auto"/>
        <w:jc w:val="center"/>
        <w:rPr>
          <w:b/>
          <w:bCs/>
        </w:rPr>
      </w:pPr>
      <w:r>
        <w:rPr>
          <w:b/>
          <w:bCs/>
        </w:rPr>
        <w:t>SE SEÑALAN AUTORIZADOS.</w:t>
      </w:r>
    </w:p>
    <w:p w14:paraId="2C93E156" w14:textId="6D6954DF" w:rsidR="003511ED" w:rsidRDefault="00000000">
      <w:pPr>
        <w:spacing w:line="360" w:lineRule="auto"/>
        <w:ind w:firstLine="720"/>
        <w:jc w:val="both"/>
      </w:pPr>
      <w:r>
        <w:t>De igual forma, con apoyo en los artículos 12 y 24 de la ley federal en cita, autorizo para recibir toda clase de notificaciones, documentos o valores, así como imponer en autos a los pasantes en derecho Alberto Arturo Pegueros Castillo</w:t>
      </w:r>
      <w:r w:rsidR="008973FD">
        <w:t>.</w:t>
      </w:r>
    </w:p>
    <w:p w14:paraId="40385AB0" w14:textId="77777777" w:rsidR="003511ED" w:rsidRDefault="003511ED">
      <w:pPr>
        <w:spacing w:line="360" w:lineRule="auto"/>
        <w:jc w:val="both"/>
      </w:pPr>
    </w:p>
    <w:p w14:paraId="5E47743C" w14:textId="77777777" w:rsidR="008973FD" w:rsidRDefault="008973FD" w:rsidP="008973FD">
      <w:pPr>
        <w:spacing w:line="360" w:lineRule="auto"/>
        <w:jc w:val="center"/>
        <w:rPr>
          <w:b/>
          <w:bCs/>
        </w:rPr>
      </w:pPr>
      <w:r>
        <w:rPr>
          <w:b/>
          <w:bCs/>
        </w:rPr>
        <w:t>NOTIFICACIÓN Y VINCULACIÓN AL EXPEDIENTE ELECTRÓNICO</w:t>
      </w:r>
    </w:p>
    <w:p w14:paraId="7643157C" w14:textId="77777777" w:rsidR="008973FD" w:rsidRDefault="008973FD" w:rsidP="008973FD">
      <w:pPr>
        <w:spacing w:line="360" w:lineRule="auto"/>
        <w:jc w:val="both"/>
        <w:rPr>
          <w:b/>
          <w:bCs/>
        </w:rPr>
      </w:pPr>
    </w:p>
    <w:p w14:paraId="069C2146" w14:textId="5E47E163" w:rsidR="008973FD" w:rsidRDefault="008973FD" w:rsidP="008973FD">
      <w:pPr>
        <w:spacing w:line="360" w:lineRule="auto"/>
        <w:ind w:firstLine="720"/>
        <w:jc w:val="both"/>
      </w:pPr>
      <w:r>
        <w:t>De igual manera debido a que mis Abogados nombrados actualmente el uso de la Firma Electrónica como medio electrónico permite ingresar al Sistema del Poder Judicial de la Federación como opción para promover juicios de amparo, escritos, consultar los expedientes electrónicos relativos a los juicios y los diversos asuntos relacionados con éstos, autorizo para recibir las notificaciones del presente amparo los siguientes usuarios y correos registrados a nombre de los siguientes usuarios:</w:t>
      </w:r>
      <w:r>
        <w:rPr>
          <w:b/>
          <w:bCs/>
        </w:rPr>
        <w:t xml:space="preserve"> “</w:t>
      </w:r>
      <w:proofErr w:type="spellStart"/>
      <w:r>
        <w:rPr>
          <w:b/>
          <w:bCs/>
        </w:rPr>
        <w:t>fidelvillanueva</w:t>
      </w:r>
      <w:proofErr w:type="spellEnd"/>
      <w:r>
        <w:rPr>
          <w:b/>
          <w:bCs/>
        </w:rPr>
        <w:t xml:space="preserve">” con correo electrónico </w:t>
      </w:r>
      <w:hyperlink r:id="rId8">
        <w:r>
          <w:rPr>
            <w:b/>
            <w:bCs/>
            <w:color w:val="1155CC"/>
            <w:u w:val="single"/>
          </w:rPr>
          <w:t>notificaciones@cejum.com</w:t>
        </w:r>
      </w:hyperlink>
      <w:r>
        <w:rPr>
          <w:b/>
          <w:bCs/>
        </w:rPr>
        <w:t>, así también  “</w:t>
      </w:r>
      <w:proofErr w:type="spellStart"/>
      <w:r>
        <w:rPr>
          <w:b/>
          <w:bCs/>
        </w:rPr>
        <w:t>marceomis</w:t>
      </w:r>
      <w:proofErr w:type="spellEnd"/>
      <w:r>
        <w:rPr>
          <w:b/>
          <w:bCs/>
        </w:rPr>
        <w:t xml:space="preserve">” con correo electrónico </w:t>
      </w:r>
      <w:hyperlink r:id="rId9">
        <w:r>
          <w:rPr>
            <w:b/>
            <w:bCs/>
            <w:color w:val="1155CC"/>
            <w:u w:val="single"/>
          </w:rPr>
          <w:t>mearceomis@gmail.com</w:t>
        </w:r>
      </w:hyperlink>
      <w:r>
        <w:rPr>
          <w:b/>
          <w:bCs/>
        </w:rPr>
        <w:t xml:space="preserve">, </w:t>
      </w:r>
      <w:r>
        <w:t xml:space="preserve"> y asi tambi</w:t>
      </w:r>
      <w:r w:rsidR="006322C7">
        <w:t>é</w:t>
      </w:r>
      <w:r>
        <w:t xml:space="preserve">n </w:t>
      </w:r>
      <w:r>
        <w:rPr>
          <w:b/>
          <w:bCs/>
        </w:rPr>
        <w:t xml:space="preserve"> “</w:t>
      </w:r>
      <w:proofErr w:type="spellStart"/>
      <w:r>
        <w:rPr>
          <w:b/>
          <w:bCs/>
        </w:rPr>
        <w:t>alvaro_pegueros</w:t>
      </w:r>
      <w:proofErr w:type="spellEnd"/>
      <w:r>
        <w:rPr>
          <w:b/>
          <w:bCs/>
        </w:rPr>
        <w:t xml:space="preserve">” con correo electrónico </w:t>
      </w:r>
      <w:hyperlink r:id="rId10">
        <w:r>
          <w:rPr>
            <w:b/>
            <w:bCs/>
            <w:color w:val="1155CC"/>
            <w:u w:val="single"/>
          </w:rPr>
          <w:t>alvaro_pegueros@hotmail.com</w:t>
        </w:r>
      </w:hyperlink>
      <w:r>
        <w:t>, además solicito que por este medio se realice la vinculación del expediente electrónico que pueda derivar de la presente demanda de amparo a los usuarios señalados, aclarando que es voluntad del quejoso que el presente asunto siga la modalidad de “juicio en línea”, y por tanto, las notificaciones que deban ser de carácter personal se hagan de esa manera.</w:t>
      </w:r>
    </w:p>
    <w:p w14:paraId="6C0FC10C" w14:textId="77777777" w:rsidR="003511ED" w:rsidRDefault="003511ED">
      <w:pPr>
        <w:spacing w:line="360" w:lineRule="auto"/>
        <w:jc w:val="both"/>
      </w:pPr>
    </w:p>
    <w:p w14:paraId="336DED4F" w14:textId="77777777" w:rsidR="003511ED" w:rsidRDefault="00000000">
      <w:pPr>
        <w:spacing w:line="360" w:lineRule="auto"/>
        <w:jc w:val="center"/>
        <w:rPr>
          <w:b/>
          <w:bCs/>
        </w:rPr>
      </w:pPr>
      <w:r>
        <w:rPr>
          <w:b/>
          <w:bCs/>
        </w:rPr>
        <w:t>SE INTERPONE DEMANDA DE AMPARO EN LA VÍA INDIRECTA.</w:t>
      </w:r>
    </w:p>
    <w:p w14:paraId="78856DEB" w14:textId="77777777" w:rsidR="008973FD" w:rsidRDefault="008973FD">
      <w:pPr>
        <w:spacing w:line="360" w:lineRule="auto"/>
        <w:jc w:val="center"/>
        <w:rPr>
          <w:b/>
          <w:bCs/>
        </w:rPr>
      </w:pPr>
    </w:p>
    <w:p w14:paraId="1B35C498" w14:textId="77777777" w:rsidR="003511ED" w:rsidRDefault="00000000">
      <w:pPr>
        <w:widowControl w:val="0"/>
        <w:tabs>
          <w:tab w:val="left" w:pos="700"/>
          <w:tab w:val="left" w:pos="1337"/>
          <w:tab w:val="left" w:pos="0"/>
        </w:tabs>
        <w:spacing w:line="360" w:lineRule="auto"/>
        <w:jc w:val="both"/>
      </w:pPr>
      <w:r>
        <w:tab/>
        <w:t xml:space="preserve">Con apoyo en lo dispuesto en los artículos 103, fracción I y 107, fracción XII, ambos de la Constitución Política de los Estados Unidos Mexicanos, en relación con lo dispuesto por los numerales 1º, 2º, 5º, 6º, 17, 18, 20, 24, 26, 33, 35, 37, 107, 108 y demás relativos y aplicables de la Ley de Amparo en vigor, vengo a solicitar el </w:t>
      </w:r>
      <w:r>
        <w:rPr>
          <w:b/>
          <w:bCs/>
        </w:rPr>
        <w:t>AMPARO Y PROTECCIÓN DE LA JUSTICIA FEDERAL</w:t>
      </w:r>
      <w:r>
        <w:t>, en contra de los actos que respectivamente se reclaman de las autoridades que serán señaladas como responsables en el presente libelo de demanda.</w:t>
      </w:r>
    </w:p>
    <w:p w14:paraId="78C3CD56" w14:textId="77777777" w:rsidR="003511ED" w:rsidRDefault="00000000">
      <w:pPr>
        <w:spacing w:line="360" w:lineRule="auto"/>
        <w:ind w:left="141" w:right="-50"/>
      </w:pPr>
      <w:r>
        <w:t xml:space="preserve"> </w:t>
      </w:r>
    </w:p>
    <w:p w14:paraId="0AA95F72" w14:textId="77777777" w:rsidR="003511ED" w:rsidRDefault="00000000">
      <w:pPr>
        <w:spacing w:line="360" w:lineRule="auto"/>
        <w:jc w:val="both"/>
      </w:pPr>
      <w:r>
        <w:t>En concordancia con los artículos 103, fracción I y 107 de la Constitución Política de los Estados Unidos Mexicanos, así como en lo relativo a la fracción I del artículo 107 de la Ley de Amparo, comparezco para solicitar el Amparo y la Protección de la Justicia de la Unión por medio del presente Amparo Indirecto, por lo tanto, en cumplimiento a los requisitos de procedibilidad establecidos por el artículo 175 de la Ley de Amparo manifiesto lo siguiente:</w:t>
      </w:r>
    </w:p>
    <w:p w14:paraId="1EBF4DFD" w14:textId="77777777" w:rsidR="003511ED" w:rsidRDefault="00000000">
      <w:pPr>
        <w:spacing w:line="360" w:lineRule="auto"/>
        <w:jc w:val="center"/>
      </w:pPr>
      <w:r>
        <w:rPr>
          <w:rFonts w:ascii="Calibri" w:eastAsia="Calibri" w:hAnsi="Calibri" w:cs="Calibri"/>
        </w:rPr>
        <w:t xml:space="preserve"> </w:t>
      </w:r>
      <w:r>
        <w:rPr>
          <w:b/>
          <w:bCs/>
        </w:rPr>
        <w:t>I.- NOMBRE Y DOMICILIO DEL QUEJOSO</w:t>
      </w:r>
      <w:r>
        <w:t xml:space="preserve">: </w:t>
      </w:r>
    </w:p>
    <w:p w14:paraId="2C1FB7E1" w14:textId="77777777" w:rsidR="003511ED" w:rsidRDefault="00000000">
      <w:pPr>
        <w:widowControl w:val="0"/>
        <w:spacing w:line="360" w:lineRule="auto"/>
      </w:pPr>
      <w:r>
        <w:t>Lo anterior ya ha quedado precisado en el proemio del presente escrito.</w:t>
      </w:r>
    </w:p>
    <w:p w14:paraId="57DE0BD4" w14:textId="77777777" w:rsidR="003511ED" w:rsidRDefault="003511ED">
      <w:pPr>
        <w:widowControl w:val="0"/>
        <w:spacing w:line="360" w:lineRule="auto"/>
      </w:pPr>
    </w:p>
    <w:p w14:paraId="7C789CBA" w14:textId="77777777" w:rsidR="003511ED" w:rsidRDefault="00000000">
      <w:pPr>
        <w:widowControl w:val="0"/>
        <w:spacing w:line="360" w:lineRule="auto"/>
        <w:jc w:val="center"/>
        <w:rPr>
          <w:rFonts w:ascii="Helvetica Neue" w:eastAsia="Helvetica Neue" w:hAnsi="Helvetica Neue" w:cs="Helvetica Neue"/>
          <w:b/>
          <w:bCs/>
        </w:rPr>
      </w:pPr>
      <w:r>
        <w:rPr>
          <w:b/>
          <w:bCs/>
        </w:rPr>
        <w:t xml:space="preserve">II.- </w:t>
      </w:r>
      <w:r>
        <w:rPr>
          <w:rFonts w:ascii="Helvetica Neue" w:eastAsia="Helvetica Neue" w:hAnsi="Helvetica Neue" w:cs="Helvetica Neue"/>
          <w:b/>
          <w:bCs/>
        </w:rPr>
        <w:t xml:space="preserve">NOMBRE Y DOMICILIO DEL TERCERO INTERESADO: </w:t>
      </w:r>
    </w:p>
    <w:p w14:paraId="3A218E2C" w14:textId="77777777" w:rsidR="003511ED" w:rsidRDefault="00000000">
      <w:pPr>
        <w:widowControl w:val="0"/>
        <w:spacing w:line="360" w:lineRule="auto"/>
        <w:rPr>
          <w:rFonts w:ascii="Helvetica Neue" w:eastAsia="Helvetica Neue" w:hAnsi="Helvetica Neue" w:cs="Helvetica Neue"/>
        </w:rPr>
      </w:pPr>
      <w:r>
        <w:rPr>
          <w:rFonts w:ascii="Helvetica Neue" w:eastAsia="Helvetica Neue" w:hAnsi="Helvetica Neue" w:cs="Helvetica Neue"/>
        </w:rPr>
        <w:t>A consideración del suscrito no hay terceros interesados.</w:t>
      </w:r>
    </w:p>
    <w:p w14:paraId="3457F88A" w14:textId="77777777" w:rsidR="003511ED" w:rsidRDefault="003511ED">
      <w:pPr>
        <w:widowControl w:val="0"/>
        <w:spacing w:line="360" w:lineRule="auto"/>
      </w:pPr>
    </w:p>
    <w:p w14:paraId="2DE695B5" w14:textId="77777777" w:rsidR="003511ED" w:rsidRDefault="00000000">
      <w:pPr>
        <w:widowControl w:val="0"/>
        <w:spacing w:line="360" w:lineRule="auto"/>
        <w:jc w:val="center"/>
      </w:pPr>
      <w:r>
        <w:rPr>
          <w:rFonts w:ascii="Helvetica Neue" w:eastAsia="Helvetica Neue" w:hAnsi="Helvetica Neue" w:cs="Helvetica Neue"/>
          <w:b/>
          <w:bCs/>
        </w:rPr>
        <w:t xml:space="preserve">III.- </w:t>
      </w:r>
      <w:r>
        <w:rPr>
          <w:b/>
          <w:bCs/>
        </w:rPr>
        <w:t>LA AUTORIDAD O AUTORIDADES RESPONSABLES</w:t>
      </w:r>
      <w:r>
        <w:t xml:space="preserve">: </w:t>
      </w:r>
    </w:p>
    <w:p w14:paraId="020A16DA" w14:textId="77777777" w:rsidR="003511ED" w:rsidRDefault="003511ED">
      <w:pPr>
        <w:widowControl w:val="0"/>
        <w:spacing w:line="360" w:lineRule="auto"/>
        <w:jc w:val="center"/>
      </w:pPr>
    </w:p>
    <w:p w14:paraId="581B515B" w14:textId="2F57718D" w:rsidR="003511ED" w:rsidRDefault="008973FD">
      <w:pPr>
        <w:numPr>
          <w:ilvl w:val="0"/>
          <w:numId w:val="5"/>
        </w:numPr>
        <w:spacing w:after="109" w:line="360" w:lineRule="auto"/>
        <w:ind w:right="14"/>
        <w:jc w:val="both"/>
        <w:rPr>
          <w:b/>
          <w:bCs/>
        </w:rPr>
      </w:pPr>
      <w:r>
        <w:rPr>
          <w:b/>
          <w:bCs/>
        </w:rPr>
        <w:lastRenderedPageBreak/>
        <w:t xml:space="preserve">ANGEL ANTONIO UC MAY, FISCAL DEL MINISTERIO PÚBLICO DEL FUERO COMÚN ADSCRITO A LA FISCALÍA ESPECIALIZADA EN COMBATE A DELITOS PATRIMONIALES; Con dirección </w:t>
      </w:r>
      <w:r>
        <w:rPr>
          <w:b/>
          <w:bCs/>
          <w:highlight w:val="white"/>
        </w:rPr>
        <w:t xml:space="preserve">en el edificio ubicado en av. Rogelio Castorena por av. </w:t>
      </w:r>
      <w:proofErr w:type="spellStart"/>
      <w:r>
        <w:rPr>
          <w:b/>
          <w:bCs/>
          <w:highlight w:val="white"/>
        </w:rPr>
        <w:t>Huayacan</w:t>
      </w:r>
      <w:proofErr w:type="spellEnd"/>
      <w:r>
        <w:rPr>
          <w:b/>
          <w:bCs/>
          <w:highlight w:val="white"/>
        </w:rPr>
        <w:t xml:space="preserve"> de Cancún, Quintana Roo.</w:t>
      </w:r>
    </w:p>
    <w:p w14:paraId="2B0CF7B0" w14:textId="77777777" w:rsidR="003511ED" w:rsidRDefault="003511ED">
      <w:pPr>
        <w:widowControl w:val="0"/>
        <w:jc w:val="both"/>
      </w:pPr>
    </w:p>
    <w:p w14:paraId="49D9E7E1" w14:textId="77777777" w:rsidR="00B955DA" w:rsidRDefault="00000000" w:rsidP="000238BE">
      <w:pPr>
        <w:widowControl w:val="0"/>
        <w:spacing w:after="240" w:line="360" w:lineRule="auto"/>
        <w:jc w:val="both"/>
        <w:rPr>
          <w:rFonts w:ascii="Helvetica Neue" w:eastAsia="Helvetica Neue" w:hAnsi="Helvetica Neue" w:cs="Helvetica Neue"/>
          <w:b/>
          <w:bCs/>
        </w:rPr>
      </w:pPr>
      <w:r>
        <w:rPr>
          <w:rFonts w:ascii="Helvetica Neue" w:eastAsia="Helvetica Neue" w:hAnsi="Helvetica Neue" w:cs="Helvetica Neue"/>
          <w:b/>
          <w:bCs/>
        </w:rPr>
        <w:t xml:space="preserve">IV.- </w:t>
      </w:r>
      <w:r w:rsidR="00B955DA">
        <w:rPr>
          <w:rFonts w:ascii="Helvetica Neue" w:eastAsia="Helvetica Neue" w:hAnsi="Helvetica Neue" w:cs="Helvetica Neue"/>
          <w:b/>
          <w:bCs/>
        </w:rPr>
        <w:t>LA NORMA GENERAL ACTO U OMISIÓN QUE DE CADA AUTORIDAD SE RECLAME.</w:t>
      </w:r>
    </w:p>
    <w:p w14:paraId="6274623D" w14:textId="589DEDDB" w:rsidR="003511ED" w:rsidRPr="00B955DA" w:rsidRDefault="00B955DA" w:rsidP="000238BE">
      <w:pPr>
        <w:widowControl w:val="0"/>
        <w:spacing w:after="240" w:line="360" w:lineRule="auto"/>
        <w:jc w:val="both"/>
        <w:rPr>
          <w:rFonts w:ascii="Helvetica Neue" w:eastAsia="Helvetica Neue" w:hAnsi="Helvetica Neue" w:cs="Helvetica Neue"/>
          <w:b/>
          <w:bCs/>
        </w:rPr>
      </w:pPr>
      <w:r w:rsidRPr="00B955DA">
        <w:rPr>
          <w:rFonts w:ascii="Helvetica Neue" w:eastAsia="Helvetica Neue" w:hAnsi="Helvetica Neue" w:cs="Helvetica Neue"/>
          <w:b/>
          <w:bCs/>
        </w:rPr>
        <w:t>DENEGACIÓN DE JUSTICIA violando el derecho de petición consagrado en el artículo 8 de la Constitución</w:t>
      </w:r>
      <w:r>
        <w:rPr>
          <w:rFonts w:ascii="Helvetica Neue" w:eastAsia="Helvetica Neue" w:hAnsi="Helvetica Neue" w:cs="Helvetica Neue"/>
          <w:b/>
          <w:bCs/>
        </w:rPr>
        <w:t xml:space="preserve"> así como también </w:t>
      </w:r>
      <w:r w:rsidR="003E039A">
        <w:rPr>
          <w:b/>
          <w:bCs/>
        </w:rPr>
        <w:t>VIOLACIÓN L</w:t>
      </w:r>
      <w:r>
        <w:rPr>
          <w:b/>
          <w:bCs/>
        </w:rPr>
        <w:t>OS</w:t>
      </w:r>
      <w:r w:rsidR="003E039A">
        <w:rPr>
          <w:b/>
          <w:bCs/>
        </w:rPr>
        <w:t xml:space="preserve"> ARTÍCULOS 1, Y 20 APARTADO B FRACCIÓN </w:t>
      </w:r>
      <w:r w:rsidR="002B70AF">
        <w:rPr>
          <w:b/>
          <w:bCs/>
        </w:rPr>
        <w:t xml:space="preserve">VI </w:t>
      </w:r>
      <w:r w:rsidR="003E039A">
        <w:rPr>
          <w:b/>
          <w:bCs/>
        </w:rPr>
        <w:t xml:space="preserve">DE LA CONSTITUCIÓN GENERAL DE LA REPÚBLICA </w:t>
      </w:r>
      <w:r w:rsidR="000238BE">
        <w:rPr>
          <w:b/>
          <w:bCs/>
        </w:rPr>
        <w:t xml:space="preserve">POR LA OMISÓN DE LA AUTORIDAD RESPONSABLE LICENCIADO ANGEL ANTONIO UC MAY, FISCAL DEL MINISTERIO PÚBLICO DEL FUERO COMÚN ADSCRITO A LA FISCALÍA ESPECIALIZADA EN COMBATE A DELITOS PATRIMONIALES, CONSISTENTE EN NO DAR RESPUESTA AL ESCRITO DE PETICIÓN PRESENTADO POR EL SUSCRITO EL DÍA </w:t>
      </w:r>
      <w:r w:rsidR="003A46EB">
        <w:rPr>
          <w:b/>
          <w:bCs/>
        </w:rPr>
        <w:t>6</w:t>
      </w:r>
      <w:r w:rsidR="000238BE">
        <w:rPr>
          <w:b/>
          <w:bCs/>
        </w:rPr>
        <w:t xml:space="preserve"> DE MAYO DEL PRESENTE AÑO EN DONDE SOLICITÉ ACCESO A LA</w:t>
      </w:r>
      <w:r w:rsidR="00682F93">
        <w:rPr>
          <w:b/>
          <w:bCs/>
        </w:rPr>
        <w:t xml:space="preserve"> </w:t>
      </w:r>
      <w:r w:rsidR="000238BE">
        <w:rPr>
          <w:b/>
          <w:bCs/>
        </w:rPr>
        <w:t>CARPETA DE INVESTIGACIÓN NÚMERO FGE/UROO/BJ/03/6080/2026 TODA VEZ QUE SE HA IMPACTADO MI ESFÉRA JURÍDICA Y SE A CAUSADO EN UN ACTO DE MOLESTIA Y TENGO EL DERECHO DE ACCEDER A DICHA CARPETA DE INVESTIGACIÓN PARA PODER DEFENDERME.</w:t>
      </w:r>
    </w:p>
    <w:p w14:paraId="25E9AA82" w14:textId="77777777" w:rsidR="003511ED" w:rsidRDefault="003511ED">
      <w:pPr>
        <w:widowControl w:val="0"/>
        <w:spacing w:after="240" w:line="360" w:lineRule="auto"/>
        <w:jc w:val="both"/>
        <w:rPr>
          <w:i/>
          <w:iCs/>
          <w:sz w:val="20"/>
          <w:szCs w:val="20"/>
        </w:rPr>
      </w:pPr>
    </w:p>
    <w:p w14:paraId="103F09BB" w14:textId="77777777" w:rsidR="003511ED" w:rsidRDefault="00000000">
      <w:pPr>
        <w:widowControl w:val="0"/>
        <w:spacing w:after="240" w:line="360" w:lineRule="auto"/>
        <w:jc w:val="both"/>
        <w:rPr>
          <w:b/>
          <w:bCs/>
        </w:rPr>
      </w:pPr>
      <w:r>
        <w:rPr>
          <w:b/>
          <w:bCs/>
        </w:rPr>
        <w:t>V.- BAJO PROTESTA DE DECIR VERDAD, MANIFIESTO QUE ME CONSTAN LOS HECHOS O ABSTENCIONES QUE CONSTITUYAN LOS ANTECEDENTES DEL ACTO RECLAMADO O QUE SIRVAN DE FUNDAMENTO A LOS CONCEPTOS DE VIOLACIÓN.</w:t>
      </w:r>
    </w:p>
    <w:p w14:paraId="3F223E03" w14:textId="5D96D4DC" w:rsidR="003A46EB" w:rsidRDefault="003A46EB" w:rsidP="003A46EB">
      <w:pPr>
        <w:numPr>
          <w:ilvl w:val="0"/>
          <w:numId w:val="6"/>
        </w:numPr>
        <w:pBdr>
          <w:top w:val="nil"/>
          <w:left w:val="nil"/>
          <w:bottom w:val="nil"/>
          <w:right w:val="nil"/>
          <w:between w:val="nil"/>
        </w:pBdr>
        <w:spacing w:line="360" w:lineRule="auto"/>
        <w:jc w:val="both"/>
      </w:pPr>
      <w:r>
        <w:t xml:space="preserve">En el mes de marzo interpusieron una denuncia en contra del suscrito, misma que radicó en la carpeta de investigación número </w:t>
      </w:r>
      <w:r>
        <w:rPr>
          <w:b/>
          <w:bCs/>
        </w:rPr>
        <w:t xml:space="preserve">FGE/QROO/BJ/03/6080/2026, </w:t>
      </w:r>
      <w:r>
        <w:t>ante la fiscalía especializada en combate a delitos patrimoniales en el estado de Quintana Roo. Se deduce que en el mes de marzo se interpuso la denuncia toda vez que administrativamente cuando se radica una carpeta de investigación después de poner las iniciales del municipio donde es iniciada se pone el mes.</w:t>
      </w:r>
    </w:p>
    <w:p w14:paraId="1FB1E032" w14:textId="53A28A76" w:rsidR="003A46EB" w:rsidRDefault="003A46EB" w:rsidP="003A46EB">
      <w:pPr>
        <w:numPr>
          <w:ilvl w:val="0"/>
          <w:numId w:val="6"/>
        </w:numPr>
        <w:pBdr>
          <w:top w:val="nil"/>
          <w:left w:val="nil"/>
          <w:bottom w:val="nil"/>
          <w:right w:val="nil"/>
          <w:between w:val="nil"/>
        </w:pBdr>
        <w:spacing w:line="360" w:lineRule="auto"/>
        <w:jc w:val="both"/>
      </w:pPr>
      <w:bookmarkStart w:id="0" w:name="_heading=h.msfhmm5ht81d" w:colFirst="0" w:colLast="0"/>
      <w:bookmarkEnd w:id="0"/>
      <w:r>
        <w:t>En fecha abril del presente año, de manera extraoficial me informaron que, a la Dirección de Catastro Municipal del Municipio de Benito Juárez, le solicitaron datos de localización, así como domicilio, número de teléfono del suscrito.</w:t>
      </w:r>
    </w:p>
    <w:p w14:paraId="261B7E61" w14:textId="05F28F3F" w:rsidR="003511ED" w:rsidRDefault="003A46EB" w:rsidP="003A46EB">
      <w:pPr>
        <w:numPr>
          <w:ilvl w:val="0"/>
          <w:numId w:val="6"/>
        </w:numPr>
        <w:pBdr>
          <w:top w:val="nil"/>
          <w:left w:val="nil"/>
          <w:bottom w:val="nil"/>
          <w:right w:val="nil"/>
          <w:between w:val="nil"/>
        </w:pBdr>
        <w:spacing w:line="360" w:lineRule="auto"/>
        <w:jc w:val="both"/>
      </w:pPr>
      <w:bookmarkStart w:id="1" w:name="_heading=h.cbx2k82rcf76" w:colFirst="0" w:colLast="0"/>
      <w:bookmarkEnd w:id="1"/>
      <w:r>
        <w:t>Derivado de ello, al acudir a mi domicilio el día de ayer, me informaron que unos agentes de la policía judicial acudieron a mi domicilio con la intención de que comparezca en relación a una carpeta de investigación, pero como no pudieron localizarme, acudo ante usted, a efectos de que se me de acceso a dicha carpeta de investigación.</w:t>
      </w:r>
    </w:p>
    <w:p w14:paraId="1AB65169" w14:textId="77777777" w:rsidR="003A46EB" w:rsidRDefault="003A46EB" w:rsidP="003A46EB">
      <w:pPr>
        <w:widowControl w:val="0"/>
        <w:spacing w:line="360" w:lineRule="auto"/>
        <w:jc w:val="both"/>
        <w:rPr>
          <w:highlight w:val="yellow"/>
        </w:rPr>
      </w:pPr>
    </w:p>
    <w:p w14:paraId="4C85ABD4" w14:textId="77777777" w:rsidR="003A46EB" w:rsidRDefault="003A46EB" w:rsidP="003A46EB">
      <w:pPr>
        <w:widowControl w:val="0"/>
        <w:spacing w:line="360" w:lineRule="auto"/>
        <w:jc w:val="both"/>
        <w:rPr>
          <w:highlight w:val="yellow"/>
        </w:rPr>
      </w:pPr>
    </w:p>
    <w:p w14:paraId="712661F4" w14:textId="77777777" w:rsidR="003A46EB" w:rsidRDefault="003A46EB" w:rsidP="003A46EB">
      <w:pPr>
        <w:widowControl w:val="0"/>
        <w:spacing w:line="360" w:lineRule="auto"/>
        <w:jc w:val="both"/>
        <w:rPr>
          <w:highlight w:val="yellow"/>
        </w:rPr>
      </w:pPr>
    </w:p>
    <w:p w14:paraId="638166E3" w14:textId="77777777" w:rsidR="003A46EB" w:rsidRDefault="003A46EB" w:rsidP="003A46EB">
      <w:pPr>
        <w:widowControl w:val="0"/>
        <w:spacing w:line="360" w:lineRule="auto"/>
        <w:jc w:val="both"/>
        <w:rPr>
          <w:highlight w:val="yellow"/>
        </w:rPr>
      </w:pPr>
    </w:p>
    <w:p w14:paraId="34560E5C" w14:textId="77777777" w:rsidR="003A46EB" w:rsidRDefault="003A46EB" w:rsidP="003A46EB">
      <w:pPr>
        <w:widowControl w:val="0"/>
        <w:spacing w:line="360" w:lineRule="auto"/>
        <w:jc w:val="both"/>
        <w:rPr>
          <w:highlight w:val="yellow"/>
        </w:rPr>
      </w:pPr>
    </w:p>
    <w:p w14:paraId="07CC2662" w14:textId="77777777" w:rsidR="003511ED" w:rsidRDefault="00000000">
      <w:pPr>
        <w:widowControl w:val="0"/>
        <w:spacing w:line="360" w:lineRule="auto"/>
        <w:jc w:val="center"/>
        <w:rPr>
          <w:b/>
          <w:bCs/>
        </w:rPr>
      </w:pPr>
      <w:r>
        <w:t xml:space="preserve"> </w:t>
      </w:r>
      <w:r>
        <w:rPr>
          <w:b/>
          <w:bCs/>
        </w:rPr>
        <w:t>PRESENTACIÓN DEL AMPARO</w:t>
      </w:r>
    </w:p>
    <w:p w14:paraId="79D19187" w14:textId="77777777" w:rsidR="003A46EB" w:rsidRDefault="003A46EB">
      <w:pPr>
        <w:widowControl w:val="0"/>
        <w:spacing w:line="360" w:lineRule="auto"/>
        <w:jc w:val="center"/>
        <w:rPr>
          <w:b/>
          <w:bCs/>
        </w:rPr>
      </w:pPr>
    </w:p>
    <w:p w14:paraId="3DE93A98" w14:textId="77777777" w:rsidR="003511ED" w:rsidRDefault="00000000">
      <w:pPr>
        <w:widowControl w:val="0"/>
        <w:spacing w:after="240" w:line="360" w:lineRule="auto"/>
        <w:jc w:val="both"/>
      </w:pPr>
      <w:r>
        <w:t xml:space="preserve">Ahora bien, conforme a lo establecido por los artículos 17, 18, 22 y 31 de la Ley de Amparo, los cuales señalan los plazos para presentar la demanda, siendo de quince días hábiles, los cuales, en el caso particular, comenzarán a contarse a partir del día siguiente en que el quejoso tenga conocimiento del acto que se reclama. He de señalar que el día 25 de diciembre del año 2025, conforme a la Ley Federal del Trabajo está establecido como día inhábil. Por lo que los términos se computan de la siguiente manera: </w:t>
      </w:r>
      <w:r>
        <w:tab/>
      </w:r>
    </w:p>
    <w:tbl>
      <w:tblPr>
        <w:tblStyle w:val="a0"/>
        <w:tblW w:w="7360" w:type="dxa"/>
        <w:tblInd w:w="14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3214"/>
        <w:gridCol w:w="4146"/>
      </w:tblGrid>
      <w:tr w:rsidR="003511ED" w14:paraId="406A9ABE" w14:textId="77777777">
        <w:trPr>
          <w:trHeight w:val="443"/>
        </w:trPr>
        <w:tc>
          <w:tcPr>
            <w:tcW w:w="736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79AD84" w14:textId="77777777" w:rsidR="003511ED" w:rsidRDefault="003511ED">
            <w:pPr>
              <w:widowControl w:val="0"/>
              <w:spacing w:line="360" w:lineRule="auto"/>
              <w:jc w:val="center"/>
              <w:rPr>
                <w:b/>
                <w:bCs/>
                <w:sz w:val="20"/>
                <w:szCs w:val="20"/>
              </w:rPr>
            </w:pPr>
          </w:p>
          <w:p w14:paraId="520261B1" w14:textId="77777777" w:rsidR="003511ED" w:rsidRDefault="00000000">
            <w:pPr>
              <w:widowControl w:val="0"/>
              <w:spacing w:line="360" w:lineRule="auto"/>
              <w:jc w:val="center"/>
              <w:rPr>
                <w:rFonts w:ascii="Calibri" w:eastAsia="Calibri" w:hAnsi="Calibri" w:cs="Calibri"/>
              </w:rPr>
            </w:pPr>
            <w:r>
              <w:rPr>
                <w:b/>
                <w:bCs/>
                <w:sz w:val="20"/>
                <w:szCs w:val="20"/>
              </w:rPr>
              <w:t>PLAZOS</w:t>
            </w:r>
          </w:p>
        </w:tc>
      </w:tr>
      <w:tr w:rsidR="003511ED" w14:paraId="2E2866D1" w14:textId="77777777">
        <w:trPr>
          <w:trHeight w:val="453"/>
        </w:trPr>
        <w:tc>
          <w:tcPr>
            <w:tcW w:w="32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BF43E3" w14:textId="06691D0C" w:rsidR="003511ED" w:rsidRDefault="003A46EB">
            <w:pPr>
              <w:widowControl w:val="0"/>
              <w:spacing w:line="360" w:lineRule="auto"/>
              <w:jc w:val="both"/>
              <w:rPr>
                <w:rFonts w:ascii="Calibri" w:eastAsia="Calibri" w:hAnsi="Calibri" w:cs="Calibri"/>
              </w:rPr>
            </w:pPr>
            <w:r>
              <w:rPr>
                <w:b/>
                <w:bCs/>
                <w:sz w:val="20"/>
                <w:szCs w:val="20"/>
              </w:rPr>
              <w:t>06 de mayo de 2026</w:t>
            </w:r>
          </w:p>
        </w:tc>
        <w:tc>
          <w:tcPr>
            <w:tcW w:w="41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9C45A3" w14:textId="77777777" w:rsidR="003511ED" w:rsidRDefault="00000000">
            <w:pPr>
              <w:widowControl w:val="0"/>
              <w:spacing w:line="360" w:lineRule="auto"/>
              <w:jc w:val="both"/>
              <w:rPr>
                <w:rFonts w:ascii="Calibri" w:eastAsia="Calibri" w:hAnsi="Calibri" w:cs="Calibri"/>
              </w:rPr>
            </w:pPr>
            <w:r>
              <w:rPr>
                <w:sz w:val="20"/>
                <w:szCs w:val="20"/>
              </w:rPr>
              <w:t>Fecha en la que me notificaron el acuerdo el cual constituye el acto reclamado.</w:t>
            </w:r>
          </w:p>
        </w:tc>
      </w:tr>
      <w:tr w:rsidR="003511ED" w14:paraId="7D378FD1" w14:textId="77777777">
        <w:trPr>
          <w:trHeight w:val="453"/>
        </w:trPr>
        <w:tc>
          <w:tcPr>
            <w:tcW w:w="32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FD2947" w14:textId="31D81B71" w:rsidR="003511ED" w:rsidRDefault="00000000">
            <w:pPr>
              <w:widowControl w:val="0"/>
              <w:spacing w:line="360" w:lineRule="auto"/>
              <w:jc w:val="both"/>
              <w:rPr>
                <w:rFonts w:ascii="Calibri" w:eastAsia="Calibri" w:hAnsi="Calibri" w:cs="Calibri"/>
              </w:rPr>
            </w:pPr>
            <w:r>
              <w:rPr>
                <w:b/>
                <w:bCs/>
                <w:sz w:val="20"/>
                <w:szCs w:val="20"/>
              </w:rPr>
              <w:t>0</w:t>
            </w:r>
            <w:r w:rsidR="003A46EB">
              <w:rPr>
                <w:b/>
                <w:bCs/>
                <w:sz w:val="20"/>
                <w:szCs w:val="20"/>
              </w:rPr>
              <w:t>7</w:t>
            </w:r>
            <w:r>
              <w:rPr>
                <w:b/>
                <w:bCs/>
                <w:sz w:val="20"/>
                <w:szCs w:val="20"/>
              </w:rPr>
              <w:t xml:space="preserve"> de </w:t>
            </w:r>
            <w:r w:rsidR="003A46EB">
              <w:rPr>
                <w:b/>
                <w:bCs/>
                <w:sz w:val="20"/>
                <w:szCs w:val="20"/>
              </w:rPr>
              <w:t>mayo</w:t>
            </w:r>
            <w:r>
              <w:rPr>
                <w:b/>
                <w:bCs/>
                <w:sz w:val="20"/>
                <w:szCs w:val="20"/>
              </w:rPr>
              <w:t xml:space="preserve"> de 2026</w:t>
            </w:r>
          </w:p>
          <w:p w14:paraId="31258254" w14:textId="77777777" w:rsidR="003511ED" w:rsidRDefault="003511ED">
            <w:pPr>
              <w:widowControl w:val="0"/>
              <w:spacing w:line="360" w:lineRule="auto"/>
              <w:jc w:val="both"/>
              <w:rPr>
                <w:b/>
                <w:bCs/>
                <w:sz w:val="20"/>
                <w:szCs w:val="20"/>
              </w:rPr>
            </w:pPr>
          </w:p>
        </w:tc>
        <w:tc>
          <w:tcPr>
            <w:tcW w:w="41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059BD3" w14:textId="77777777" w:rsidR="003511ED" w:rsidRDefault="00000000">
            <w:pPr>
              <w:widowControl w:val="0"/>
              <w:spacing w:line="360" w:lineRule="auto"/>
              <w:jc w:val="both"/>
              <w:rPr>
                <w:sz w:val="20"/>
                <w:szCs w:val="20"/>
              </w:rPr>
            </w:pPr>
            <w:r>
              <w:rPr>
                <w:sz w:val="20"/>
                <w:szCs w:val="20"/>
              </w:rPr>
              <w:t>Fecha que surte efectos la notificación</w:t>
            </w:r>
          </w:p>
        </w:tc>
      </w:tr>
      <w:tr w:rsidR="003511ED" w14:paraId="38A44D5F" w14:textId="77777777">
        <w:trPr>
          <w:trHeight w:val="663"/>
        </w:trPr>
        <w:tc>
          <w:tcPr>
            <w:tcW w:w="32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953E89" w14:textId="5859D9EB" w:rsidR="003511ED" w:rsidRDefault="003A46EB">
            <w:pPr>
              <w:widowControl w:val="0"/>
              <w:spacing w:line="360" w:lineRule="auto"/>
              <w:jc w:val="both"/>
              <w:rPr>
                <w:b/>
                <w:bCs/>
                <w:sz w:val="20"/>
                <w:szCs w:val="20"/>
              </w:rPr>
            </w:pPr>
            <w:r>
              <w:rPr>
                <w:b/>
                <w:bCs/>
                <w:sz w:val="20"/>
                <w:szCs w:val="20"/>
              </w:rPr>
              <w:t>08 de mayo de 2025</w:t>
            </w:r>
          </w:p>
          <w:p w14:paraId="138CE01E" w14:textId="77777777" w:rsidR="003511ED" w:rsidRDefault="003511ED">
            <w:pPr>
              <w:widowControl w:val="0"/>
              <w:spacing w:line="360" w:lineRule="auto"/>
              <w:jc w:val="both"/>
              <w:rPr>
                <w:rFonts w:ascii="Calibri" w:eastAsia="Calibri" w:hAnsi="Calibri" w:cs="Calibri"/>
              </w:rPr>
            </w:pPr>
          </w:p>
        </w:tc>
        <w:tc>
          <w:tcPr>
            <w:tcW w:w="41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7EAA47" w14:textId="77777777" w:rsidR="003511ED" w:rsidRDefault="003511ED">
            <w:pPr>
              <w:widowControl w:val="0"/>
              <w:spacing w:line="360" w:lineRule="auto"/>
              <w:jc w:val="both"/>
              <w:rPr>
                <w:sz w:val="20"/>
                <w:szCs w:val="20"/>
              </w:rPr>
            </w:pPr>
          </w:p>
          <w:p w14:paraId="7C57354A" w14:textId="77777777" w:rsidR="003511ED" w:rsidRDefault="00000000">
            <w:pPr>
              <w:widowControl w:val="0"/>
              <w:spacing w:line="360" w:lineRule="auto"/>
              <w:jc w:val="both"/>
              <w:rPr>
                <w:rFonts w:ascii="Calibri" w:eastAsia="Calibri" w:hAnsi="Calibri" w:cs="Calibri"/>
              </w:rPr>
            </w:pPr>
            <w:r>
              <w:rPr>
                <w:sz w:val="20"/>
                <w:szCs w:val="20"/>
              </w:rPr>
              <w:t>Fecha que comienza a correr el término.</w:t>
            </w:r>
          </w:p>
        </w:tc>
      </w:tr>
      <w:tr w:rsidR="003511ED" w14:paraId="20B55709" w14:textId="77777777">
        <w:trPr>
          <w:trHeight w:val="663"/>
        </w:trPr>
        <w:tc>
          <w:tcPr>
            <w:tcW w:w="32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390829" w14:textId="6A684BAB" w:rsidR="003511ED" w:rsidRDefault="003A46EB">
            <w:pPr>
              <w:widowControl w:val="0"/>
              <w:spacing w:line="360" w:lineRule="auto"/>
              <w:jc w:val="both"/>
              <w:rPr>
                <w:b/>
                <w:bCs/>
                <w:sz w:val="20"/>
                <w:szCs w:val="20"/>
              </w:rPr>
            </w:pPr>
            <w:r>
              <w:rPr>
                <w:b/>
                <w:bCs/>
                <w:sz w:val="20"/>
                <w:szCs w:val="20"/>
              </w:rPr>
              <w:t>09, 10, 15, 16, 17 de mayo, de 2026.</w:t>
            </w:r>
          </w:p>
        </w:tc>
        <w:tc>
          <w:tcPr>
            <w:tcW w:w="41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FACDC9" w14:textId="706447CF" w:rsidR="003511ED" w:rsidRDefault="003A46EB">
            <w:pPr>
              <w:widowControl w:val="0"/>
              <w:spacing w:line="360" w:lineRule="auto"/>
              <w:jc w:val="both"/>
              <w:rPr>
                <w:sz w:val="20"/>
                <w:szCs w:val="20"/>
              </w:rPr>
            </w:pPr>
            <w:r>
              <w:rPr>
                <w:sz w:val="20"/>
                <w:szCs w:val="20"/>
              </w:rPr>
              <w:t>Días inhábiles</w:t>
            </w:r>
          </w:p>
        </w:tc>
      </w:tr>
      <w:tr w:rsidR="003511ED" w14:paraId="46482C4E" w14:textId="77777777">
        <w:trPr>
          <w:trHeight w:val="443"/>
        </w:trPr>
        <w:tc>
          <w:tcPr>
            <w:tcW w:w="32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D8C4E4" w14:textId="604F3314" w:rsidR="003511ED" w:rsidRDefault="00000000">
            <w:pPr>
              <w:widowControl w:val="0"/>
              <w:spacing w:line="360" w:lineRule="auto"/>
              <w:jc w:val="both"/>
              <w:rPr>
                <w:rFonts w:ascii="Calibri" w:eastAsia="Calibri" w:hAnsi="Calibri" w:cs="Calibri"/>
              </w:rPr>
            </w:pPr>
            <w:r>
              <w:rPr>
                <w:b/>
                <w:bCs/>
                <w:sz w:val="20"/>
                <w:szCs w:val="20"/>
              </w:rPr>
              <w:t xml:space="preserve">25 de </w:t>
            </w:r>
            <w:r w:rsidR="003A46EB">
              <w:rPr>
                <w:b/>
                <w:bCs/>
                <w:sz w:val="20"/>
                <w:szCs w:val="20"/>
              </w:rPr>
              <w:t>mayo</w:t>
            </w:r>
            <w:r>
              <w:rPr>
                <w:b/>
                <w:bCs/>
                <w:sz w:val="20"/>
                <w:szCs w:val="20"/>
              </w:rPr>
              <w:t xml:space="preserve"> de 2026</w:t>
            </w:r>
          </w:p>
        </w:tc>
        <w:tc>
          <w:tcPr>
            <w:tcW w:w="41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0649C1" w14:textId="77777777" w:rsidR="003511ED" w:rsidRDefault="00000000">
            <w:pPr>
              <w:widowControl w:val="0"/>
              <w:spacing w:line="360" w:lineRule="auto"/>
              <w:jc w:val="both"/>
              <w:rPr>
                <w:rFonts w:ascii="Calibri" w:eastAsia="Calibri" w:hAnsi="Calibri" w:cs="Calibri"/>
              </w:rPr>
            </w:pPr>
            <w:r>
              <w:rPr>
                <w:sz w:val="20"/>
                <w:szCs w:val="20"/>
              </w:rPr>
              <w:t>Fecha de presentación del amparo.</w:t>
            </w:r>
          </w:p>
        </w:tc>
      </w:tr>
      <w:tr w:rsidR="003511ED" w14:paraId="25C7A7BC" w14:textId="77777777">
        <w:trPr>
          <w:trHeight w:val="663"/>
        </w:trPr>
        <w:tc>
          <w:tcPr>
            <w:tcW w:w="32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D89935" w14:textId="5FE2B8C1" w:rsidR="003511ED" w:rsidRDefault="003A46EB">
            <w:pPr>
              <w:widowControl w:val="0"/>
              <w:spacing w:line="360" w:lineRule="auto"/>
              <w:jc w:val="both"/>
              <w:rPr>
                <w:rFonts w:ascii="Calibri" w:eastAsia="Calibri" w:hAnsi="Calibri" w:cs="Calibri"/>
              </w:rPr>
            </w:pPr>
            <w:r>
              <w:rPr>
                <w:b/>
                <w:bCs/>
                <w:sz w:val="20"/>
                <w:szCs w:val="20"/>
              </w:rPr>
              <w:t>29 de mayo de 2026</w:t>
            </w:r>
          </w:p>
        </w:tc>
        <w:tc>
          <w:tcPr>
            <w:tcW w:w="41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7A742C" w14:textId="77777777" w:rsidR="003511ED" w:rsidRDefault="00000000">
            <w:pPr>
              <w:widowControl w:val="0"/>
              <w:spacing w:line="360" w:lineRule="auto"/>
              <w:jc w:val="both"/>
              <w:rPr>
                <w:rFonts w:ascii="Calibri" w:eastAsia="Calibri" w:hAnsi="Calibri" w:cs="Calibri"/>
              </w:rPr>
            </w:pPr>
            <w:r>
              <w:rPr>
                <w:sz w:val="20"/>
                <w:szCs w:val="20"/>
              </w:rPr>
              <w:t>Vence el término para presentar el amparo correspondiente.</w:t>
            </w:r>
          </w:p>
        </w:tc>
      </w:tr>
    </w:tbl>
    <w:p w14:paraId="777A926A" w14:textId="77777777" w:rsidR="003511ED" w:rsidRDefault="003511ED">
      <w:pPr>
        <w:spacing w:line="360" w:lineRule="auto"/>
        <w:jc w:val="both"/>
        <w:rPr>
          <w:b/>
          <w:bCs/>
        </w:rPr>
      </w:pPr>
    </w:p>
    <w:p w14:paraId="344FD269" w14:textId="77777777" w:rsidR="003511ED" w:rsidRDefault="003511ED">
      <w:pPr>
        <w:spacing w:line="360" w:lineRule="auto"/>
        <w:jc w:val="both"/>
        <w:rPr>
          <w:b/>
          <w:bCs/>
        </w:rPr>
      </w:pPr>
    </w:p>
    <w:p w14:paraId="2617B563" w14:textId="77777777" w:rsidR="00B955DA" w:rsidRDefault="00000000">
      <w:pPr>
        <w:spacing w:line="360" w:lineRule="auto"/>
        <w:jc w:val="both"/>
      </w:pPr>
      <w:r>
        <w:rPr>
          <w:b/>
          <w:bCs/>
        </w:rPr>
        <w:t xml:space="preserve">VI. PRECEPTOS CONSTITUCIONALES Y DERECHOS HUMANOS VIOLADOS. </w:t>
      </w:r>
      <w:r>
        <w:t>Se considera que los preceptos constitucionales violados en perjuicio del directo quejoso.</w:t>
      </w:r>
    </w:p>
    <w:p w14:paraId="387CFC74" w14:textId="77777777" w:rsidR="00B955DA" w:rsidRDefault="00B955DA" w:rsidP="00B955DA">
      <w:pPr>
        <w:spacing w:line="360" w:lineRule="auto"/>
        <w:jc w:val="both"/>
      </w:pPr>
      <w:r>
        <w:t>Artículo 1, 8 14 y 17 de la Constitución Política de los Estados Unidos Mexicano.</w:t>
      </w:r>
    </w:p>
    <w:p w14:paraId="2DEDC176" w14:textId="77777777" w:rsidR="00B955DA" w:rsidRDefault="00B955DA" w:rsidP="00B955DA">
      <w:pPr>
        <w:spacing w:line="360" w:lineRule="auto"/>
        <w:jc w:val="both"/>
      </w:pPr>
      <w:r>
        <w:t>a)</w:t>
      </w:r>
      <w:r>
        <w:tab/>
        <w:t>Derecho de petición.</w:t>
      </w:r>
    </w:p>
    <w:p w14:paraId="78FFF9DC" w14:textId="77777777" w:rsidR="00B955DA" w:rsidRDefault="00B955DA" w:rsidP="00B955DA">
      <w:pPr>
        <w:spacing w:line="360" w:lineRule="auto"/>
        <w:jc w:val="both"/>
      </w:pPr>
      <w:r>
        <w:t>b)</w:t>
      </w:r>
      <w:r>
        <w:tab/>
        <w:t>Acceso a la justicia pronta y expedita.</w:t>
      </w:r>
    </w:p>
    <w:p w14:paraId="0E33AF85" w14:textId="77777777" w:rsidR="00B955DA" w:rsidRDefault="00B955DA" w:rsidP="00B955DA">
      <w:pPr>
        <w:spacing w:line="360" w:lineRule="auto"/>
        <w:jc w:val="both"/>
      </w:pPr>
    </w:p>
    <w:p w14:paraId="7547E12E" w14:textId="7D921315" w:rsidR="003511ED" w:rsidRDefault="00000000" w:rsidP="00B955DA">
      <w:pPr>
        <w:spacing w:line="360" w:lineRule="auto"/>
        <w:jc w:val="both"/>
      </w:pPr>
      <w:r>
        <w:t xml:space="preserve"> Las garantías de legalidad seguridad y libertad contenidas en los artículos 14, 16 y 20</w:t>
      </w:r>
      <w:r w:rsidR="00B955DA">
        <w:t xml:space="preserve"> apartado B Fracción VI</w:t>
      </w:r>
      <w:r>
        <w:t xml:space="preserve"> de la Constitución Política de los Estados Unidos Mexicanos, toda vez que la autoridad responsable </w:t>
      </w:r>
      <w:r w:rsidR="00B955DA">
        <w:t>a violado</w:t>
      </w:r>
      <w:r>
        <w:t xml:space="preserve"> los preceptos constitucionales en perjuicio del directo quejoso. Las garantías de legalidad, seguridad jurídica.</w:t>
      </w:r>
    </w:p>
    <w:p w14:paraId="61969626" w14:textId="77777777" w:rsidR="003511ED" w:rsidRDefault="003511ED">
      <w:pPr>
        <w:spacing w:line="360" w:lineRule="auto"/>
        <w:jc w:val="both"/>
      </w:pPr>
    </w:p>
    <w:p w14:paraId="726E170E" w14:textId="77777777" w:rsidR="00B955DA" w:rsidRDefault="00B955DA">
      <w:pPr>
        <w:spacing w:line="360" w:lineRule="auto"/>
        <w:jc w:val="both"/>
      </w:pPr>
    </w:p>
    <w:p w14:paraId="690B1422" w14:textId="77777777" w:rsidR="003511ED" w:rsidRDefault="00000000">
      <w:pPr>
        <w:spacing w:line="360" w:lineRule="auto"/>
        <w:ind w:left="567"/>
        <w:jc w:val="center"/>
        <w:rPr>
          <w:b/>
          <w:bCs/>
        </w:rPr>
      </w:pPr>
      <w:r>
        <w:rPr>
          <w:b/>
          <w:bCs/>
        </w:rPr>
        <w:lastRenderedPageBreak/>
        <w:t>VII.- INTERÉS LEGÍTIMO.</w:t>
      </w:r>
    </w:p>
    <w:p w14:paraId="69103E81" w14:textId="77777777" w:rsidR="003511ED" w:rsidRDefault="00000000">
      <w:pPr>
        <w:spacing w:line="360" w:lineRule="auto"/>
        <w:jc w:val="both"/>
      </w:pPr>
      <w:r>
        <w:t xml:space="preserve">El artículo 107, fracción I, Constitucional establece que el Juicio de Amparo se seguirá siempre a instancia de parte agraviada, teniendo tal carácter quien aduce ser titular de un derecho, siempre que alegue que el acto reclamado viola los derechos reconocidos por esta Constitución y con ello se afecte su esfera jurídica, ya sea de manera directa o en virtud de su especial situación frente al orden jurídico. Existe criterio firme tanto en la doctrina jurídica como en la interpretación jurisprudencial, que establece que el interés jurídico para promover el juicio de amparo se actualiza cuando un acto de autoridad, ya sea por acción u omisión, produce una afectación real, directa y personal en los derechos fundamentales del gobernado. </w:t>
      </w:r>
    </w:p>
    <w:p w14:paraId="2F3AD91E" w14:textId="77777777" w:rsidR="003511ED" w:rsidRDefault="003511ED">
      <w:pPr>
        <w:spacing w:line="360" w:lineRule="auto"/>
        <w:jc w:val="both"/>
      </w:pPr>
    </w:p>
    <w:p w14:paraId="7FA83035" w14:textId="77777777" w:rsidR="003511ED" w:rsidRDefault="00000000">
      <w:pPr>
        <w:spacing w:line="360" w:lineRule="auto"/>
        <w:jc w:val="center"/>
        <w:rPr>
          <w:b/>
          <w:bCs/>
        </w:rPr>
      </w:pPr>
      <w:r>
        <w:rPr>
          <w:b/>
          <w:bCs/>
        </w:rPr>
        <w:t>VIII. CONCEPTOS DE VIOLACIÓN.</w:t>
      </w:r>
    </w:p>
    <w:p w14:paraId="736F0640" w14:textId="77777777" w:rsidR="008B7FDF" w:rsidRDefault="008B7FDF">
      <w:pPr>
        <w:spacing w:line="360" w:lineRule="auto"/>
        <w:jc w:val="center"/>
        <w:rPr>
          <w:b/>
          <w:bCs/>
        </w:rPr>
      </w:pPr>
    </w:p>
    <w:p w14:paraId="768F97EC" w14:textId="0ABEB39B" w:rsidR="008B7FDF" w:rsidRPr="008B7FDF" w:rsidRDefault="008B7FDF" w:rsidP="008B7FDF">
      <w:pPr>
        <w:spacing w:line="360" w:lineRule="auto"/>
        <w:rPr>
          <w:b/>
          <w:bCs/>
        </w:rPr>
      </w:pPr>
      <w:r w:rsidRPr="008B7FDF">
        <w:rPr>
          <w:b/>
          <w:bCs/>
        </w:rPr>
        <w:t xml:space="preserve">CONCEPTO DE VIOLACIÓN EN GENERAL- TRANSGRESION A LOS ARTICULOS 8º Y 17 CONSTITUCIONALES POR FALTA DE PRONUNCIAMIENTO OPORTUNO SOBRE </w:t>
      </w:r>
      <w:r>
        <w:rPr>
          <w:b/>
          <w:bCs/>
        </w:rPr>
        <w:t>LA PROMOCIÓN PLANTEADA</w:t>
      </w:r>
      <w:r w:rsidRPr="008B7FDF">
        <w:rPr>
          <w:b/>
          <w:bCs/>
        </w:rPr>
        <w:t>.</w:t>
      </w:r>
    </w:p>
    <w:p w14:paraId="7DC4217B" w14:textId="77777777" w:rsidR="008B7FDF" w:rsidRPr="008B7FDF" w:rsidRDefault="008B7FDF" w:rsidP="008B7FDF">
      <w:pPr>
        <w:spacing w:line="360" w:lineRule="auto"/>
        <w:rPr>
          <w:b/>
          <w:bCs/>
        </w:rPr>
      </w:pPr>
    </w:p>
    <w:p w14:paraId="7CD8A502" w14:textId="2989F7ED" w:rsidR="008B7FDF" w:rsidRDefault="008B7FDF" w:rsidP="008B7FDF">
      <w:pPr>
        <w:spacing w:line="360" w:lineRule="auto"/>
        <w:rPr>
          <w:b/>
          <w:bCs/>
        </w:rPr>
      </w:pPr>
      <w:r>
        <w:rPr>
          <w:b/>
          <w:bCs/>
        </w:rPr>
        <w:t xml:space="preserve">“LA OMISIÓN DEL MINISTERIO PÚBLICO DE CONTESTAR LA SOLICITUD PARA QUE EN MI CARÁCTER DE IMPUTADO SE ME OTORGE ACCESO A LA CARPETA DE INVESTIGACIÓN”. </w:t>
      </w:r>
    </w:p>
    <w:p w14:paraId="7AEFC883" w14:textId="77777777" w:rsidR="008B7FDF" w:rsidRDefault="008B7FDF" w:rsidP="008B7FDF">
      <w:pPr>
        <w:spacing w:line="360" w:lineRule="auto"/>
        <w:rPr>
          <w:b/>
          <w:bCs/>
        </w:rPr>
      </w:pPr>
    </w:p>
    <w:p w14:paraId="11278062" w14:textId="1D1FFFE7" w:rsidR="008B7FDF" w:rsidRPr="008B7FDF" w:rsidRDefault="008B7FDF" w:rsidP="008B7FDF">
      <w:pPr>
        <w:spacing w:line="360" w:lineRule="auto"/>
        <w:rPr>
          <w:b/>
          <w:bCs/>
        </w:rPr>
      </w:pPr>
      <w:r w:rsidRPr="008B7FDF">
        <w:rPr>
          <w:b/>
          <w:bCs/>
        </w:rPr>
        <w:t>PRIMER CONCEPTO DE VIOLACION. - OMISIÓN DE ACORDAR EL ESCRITO PRESENTADO POR EL QUEJOSO.</w:t>
      </w:r>
    </w:p>
    <w:p w14:paraId="3374F2E3" w14:textId="1F5CA981" w:rsidR="008B7FDF" w:rsidRDefault="00B42F8F" w:rsidP="00682F93">
      <w:pPr>
        <w:spacing w:line="360" w:lineRule="auto"/>
        <w:jc w:val="both"/>
      </w:pPr>
      <w:r w:rsidRPr="00B42F8F">
        <w:rPr>
          <w:b/>
          <w:bCs/>
        </w:rPr>
        <w:t>REFUTATIO.-</w:t>
      </w:r>
      <w:r>
        <w:t xml:space="preserve"> </w:t>
      </w:r>
      <w:r w:rsidR="008B7FDF" w:rsidRPr="00682F93">
        <w:t xml:space="preserve">La autoridad responsable vulnera de manera directa el derecho de petición previsto en el artículo 8° de la Constitución Política de los Estados Unidos Mexicanos, al omitir pronunciarse sobre el escrito presentado por el suscrito el día 06 de mayo de 2026, mediante el cual se formuló una petición en términos pacíficos, respetuosos y por escrito, cumpliendo con todos los requisitos exigidos por dicho precepto. El artículo </w:t>
      </w:r>
      <w:r w:rsidR="00B325A0" w:rsidRPr="00682F93">
        <w:t xml:space="preserve">8° </w:t>
      </w:r>
      <w:r w:rsidR="008B7FDF" w:rsidRPr="00682F93">
        <w:t xml:space="preserve"> constitucional impone a toda autoridad la obligación de responder de manera pronta y fundada toda solicitud que le sea presentada por los gobernados, siempre que se formule de manera respetuosa y por escrito. En el presente caso, dicha obligación fue incumplida por completo, pues el </w:t>
      </w:r>
      <w:r w:rsidR="008B7FDF" w:rsidRPr="00682F93">
        <w:rPr>
          <w:b/>
          <w:bCs/>
        </w:rPr>
        <w:t>LICENCIADO ANGEL ANTONIO UC MAY, FISCAL DEL MINISTERIO PÚBLICO DEL FUERO COMÚN ADSCRITO A LA FISCALÍA ESPECIALIZADA EN COMBATE A DELITOS PATRIMONIALES</w:t>
      </w:r>
      <w:r w:rsidR="008B7FDF" w:rsidRPr="00682F93">
        <w:t>, no ha acordado la promoción incurriendo así en una omisión violatoria del derecho fundamental mencionado. De acuerdo con la jurisprudencia con registro digital 162603, bajo el rubro "DERECHO DE PETICIÓN. SUS ELEMENTOS", este derecho se integra por:</w:t>
      </w:r>
    </w:p>
    <w:p w14:paraId="043E2C0A" w14:textId="77777777" w:rsidR="00682F93" w:rsidRPr="00682F93" w:rsidRDefault="00682F93" w:rsidP="00682F93">
      <w:pPr>
        <w:spacing w:line="360" w:lineRule="auto"/>
        <w:jc w:val="both"/>
      </w:pPr>
    </w:p>
    <w:p w14:paraId="2896CCA7" w14:textId="49BF216D" w:rsidR="008B7FDF" w:rsidRPr="00682F93" w:rsidRDefault="008B7FDF" w:rsidP="00682F93">
      <w:pPr>
        <w:spacing w:line="360" w:lineRule="auto"/>
        <w:jc w:val="both"/>
      </w:pPr>
      <w:r w:rsidRPr="00682F93">
        <w:t>1.</w:t>
      </w:r>
      <w:r w:rsidRPr="00682F93">
        <w:tab/>
        <w:t>La existencia de una solicitud formulada por escrito y de manera</w:t>
      </w:r>
    </w:p>
    <w:p w14:paraId="3C35E282" w14:textId="77777777" w:rsidR="008B7FDF" w:rsidRPr="00682F93" w:rsidRDefault="008B7FDF" w:rsidP="00682F93">
      <w:pPr>
        <w:spacing w:line="360" w:lineRule="auto"/>
        <w:jc w:val="both"/>
      </w:pPr>
      <w:r w:rsidRPr="00682F93">
        <w:t>respetuosa.</w:t>
      </w:r>
    </w:p>
    <w:p w14:paraId="7A3F65C5" w14:textId="77777777" w:rsidR="008B7FDF" w:rsidRPr="00682F93" w:rsidRDefault="008B7FDF" w:rsidP="00682F93">
      <w:pPr>
        <w:spacing w:line="360" w:lineRule="auto"/>
        <w:jc w:val="both"/>
      </w:pPr>
      <w:r w:rsidRPr="00682F93">
        <w:t>2.</w:t>
      </w:r>
      <w:r w:rsidRPr="00682F93">
        <w:tab/>
        <w:t>La obligación correlativa de la autoridad de responder en breve término.</w:t>
      </w:r>
    </w:p>
    <w:p w14:paraId="6D3040E2" w14:textId="77777777" w:rsidR="008B7FDF" w:rsidRPr="00682F93" w:rsidRDefault="008B7FDF" w:rsidP="00682F93">
      <w:pPr>
        <w:spacing w:line="360" w:lineRule="auto"/>
        <w:jc w:val="both"/>
      </w:pPr>
      <w:r w:rsidRPr="00682F93">
        <w:t>3.</w:t>
      </w:r>
      <w:r w:rsidRPr="00682F93">
        <w:tab/>
        <w:t>El deber de que la respuesta sea por escrito y debidamente fundada y motivada.</w:t>
      </w:r>
    </w:p>
    <w:p w14:paraId="601ACD08" w14:textId="1D182CD4" w:rsidR="008B7FDF" w:rsidRPr="00682F93" w:rsidRDefault="008B7FDF" w:rsidP="00682F93">
      <w:pPr>
        <w:spacing w:line="360" w:lineRule="auto"/>
        <w:jc w:val="both"/>
      </w:pPr>
      <w:r w:rsidRPr="00682F93">
        <w:lastRenderedPageBreak/>
        <w:t xml:space="preserve">El suscrito cumplió cabalmente con el primer elemento al presentar una petición formal y respetuosa, sin embargo, la autoridad incumplió su obligación de no enviar el recurso a la </w:t>
      </w:r>
      <w:r w:rsidR="00746AB3" w:rsidRPr="00682F93">
        <w:t>Séptima</w:t>
      </w:r>
      <w:r w:rsidRPr="00682F93">
        <w:t xml:space="preserve"> </w:t>
      </w:r>
      <w:r w:rsidR="00746AB3" w:rsidRPr="00682F93">
        <w:t>Sala,</w:t>
      </w:r>
      <w:r w:rsidRPr="00682F93">
        <w:t xml:space="preserve"> configurándose la violación reclamada</w:t>
      </w:r>
      <w:r w:rsidR="00100A05">
        <w:t xml:space="preserve">, </w:t>
      </w:r>
      <w:r w:rsidRPr="00682F93">
        <w:t xml:space="preserve">la omisión de acordar lo solicitado genera un perjuicio grave al quejoso, toda vez que impide la continuidad del trámite </w:t>
      </w:r>
      <w:r w:rsidR="00746AB3" w:rsidRPr="00682F93">
        <w:t>procesal</w:t>
      </w:r>
      <w:r w:rsidRPr="00682F93">
        <w:t xml:space="preserve"> que deriva del recurso de queja presentado, obstaculizando además el cumplimiento del principio de legalidad y de acceso</w:t>
      </w:r>
      <w:r w:rsidR="00746AB3" w:rsidRPr="00682F93">
        <w:t xml:space="preserve"> </w:t>
      </w:r>
      <w:r w:rsidRPr="00682F93">
        <w:t xml:space="preserve">efectivo a la justicia. Asimismo, la </w:t>
      </w:r>
      <w:r w:rsidR="00100A05">
        <w:t>i</w:t>
      </w:r>
      <w:r w:rsidRPr="00682F93">
        <w:t xml:space="preserve">nactividad procesal de la autoridad contraviene el deber de responder en breve término, lo cual constituye una negligencia administrativa y jurisdiccional. </w:t>
      </w:r>
      <w:r w:rsidR="00B325A0" w:rsidRPr="00682F93">
        <w:t>Lo cual</w:t>
      </w:r>
      <w:r w:rsidRPr="00682F93">
        <w:t xml:space="preserve"> se traduce en una denegación de justicia, afectando el ejercicio del derecho constitucional a obtener respuesta pronta y fundada d</w:t>
      </w:r>
      <w:r w:rsidR="00746AB3" w:rsidRPr="00682F93">
        <w:t xml:space="preserve">e </w:t>
      </w:r>
      <w:r w:rsidRPr="00682F93">
        <w:t xml:space="preserve">toda autoridad. En conclusión, la omisión de </w:t>
      </w:r>
      <w:r w:rsidR="00B325A0" w:rsidRPr="00682F93">
        <w:t>acordar</w:t>
      </w:r>
      <w:r w:rsidRPr="00682F93">
        <w:t xml:space="preserve"> el es</w:t>
      </w:r>
      <w:r w:rsidR="00B325A0" w:rsidRPr="00682F93">
        <w:t>cr</w:t>
      </w:r>
      <w:r w:rsidRPr="00682F93">
        <w:t>ito de petición constituye una violación directa al artículo 8°constitucional</w:t>
      </w:r>
      <w:r w:rsidR="00100A05">
        <w:t xml:space="preserve">, </w:t>
      </w:r>
      <w:r w:rsidRPr="00682F93">
        <w:t>así como los</w:t>
      </w:r>
      <w:r w:rsidR="00746AB3" w:rsidRPr="00682F93">
        <w:t xml:space="preserve"> </w:t>
      </w:r>
      <w:r w:rsidRPr="00682F93">
        <w:t xml:space="preserve">principios de </w:t>
      </w:r>
      <w:r w:rsidR="00746AB3" w:rsidRPr="00682F93">
        <w:t>legalidad</w:t>
      </w:r>
      <w:r w:rsidRPr="00682F93">
        <w:t xml:space="preserve"> y segur</w:t>
      </w:r>
      <w:r w:rsidR="00746AB3" w:rsidRPr="00682F93">
        <w:t>i</w:t>
      </w:r>
      <w:r w:rsidRPr="00682F93">
        <w:t>da</w:t>
      </w:r>
      <w:r w:rsidR="00746AB3" w:rsidRPr="00682F93">
        <w:t>d</w:t>
      </w:r>
      <w:r w:rsidRPr="00682F93">
        <w:t xml:space="preserve"> jurídica que rigen la actuación de toda autoridad.</w:t>
      </w:r>
    </w:p>
    <w:p w14:paraId="42A85C3C" w14:textId="77777777" w:rsidR="00682F93" w:rsidRDefault="00682F93" w:rsidP="008B7FDF">
      <w:pPr>
        <w:spacing w:line="360" w:lineRule="auto"/>
        <w:rPr>
          <w:b/>
          <w:bCs/>
        </w:rPr>
      </w:pPr>
    </w:p>
    <w:p w14:paraId="7F389BFF" w14:textId="6F1DEA0C" w:rsidR="008B7FDF" w:rsidRPr="008B7FDF" w:rsidRDefault="008B7FDF" w:rsidP="00682F93">
      <w:pPr>
        <w:spacing w:line="360" w:lineRule="auto"/>
        <w:jc w:val="both"/>
        <w:rPr>
          <w:b/>
          <w:bCs/>
        </w:rPr>
      </w:pPr>
      <w:r w:rsidRPr="008B7FDF">
        <w:rPr>
          <w:b/>
          <w:bCs/>
        </w:rPr>
        <w:t>SEGUNDO CONCEPTO DIE VIOLACION: FALTA DE PRONTA Y EXPEDITA IMPARTICIÓN DE JUSTICIA</w:t>
      </w:r>
      <w:r w:rsidR="00100A05">
        <w:rPr>
          <w:b/>
          <w:bCs/>
        </w:rPr>
        <w:t>,</w:t>
      </w:r>
      <w:r w:rsidRPr="008B7FDF">
        <w:rPr>
          <w:b/>
          <w:bCs/>
        </w:rPr>
        <w:t xml:space="preserve"> </w:t>
      </w:r>
      <w:r w:rsidR="00100A05">
        <w:rPr>
          <w:b/>
          <w:bCs/>
        </w:rPr>
        <w:t>EN LA FALTA DE PRONUNCIACION A LA SOLICITUD PLANTEADA.</w:t>
      </w:r>
    </w:p>
    <w:p w14:paraId="5FDB2A5F" w14:textId="24F393A0" w:rsidR="008B7FDF" w:rsidRPr="00682F93" w:rsidRDefault="00B42F8F" w:rsidP="00682F93">
      <w:pPr>
        <w:spacing w:line="360" w:lineRule="auto"/>
        <w:jc w:val="both"/>
      </w:pPr>
      <w:r>
        <w:rPr>
          <w:b/>
          <w:bCs/>
        </w:rPr>
        <w:t xml:space="preserve">REFUTATIO.- </w:t>
      </w:r>
      <w:r w:rsidR="008B7FDF" w:rsidRPr="00682F93">
        <w:t>En el presente caso, se actua</w:t>
      </w:r>
      <w:r w:rsidR="00746AB3" w:rsidRPr="00682F93">
        <w:t>l</w:t>
      </w:r>
      <w:r w:rsidR="008B7FDF" w:rsidRPr="00682F93">
        <w:t>iz</w:t>
      </w:r>
      <w:r w:rsidR="00746AB3" w:rsidRPr="00682F93">
        <w:t>a</w:t>
      </w:r>
      <w:r w:rsidR="008B7FDF" w:rsidRPr="00682F93">
        <w:t xml:space="preserve"> una violación al artículo 17 de la Constitución Política de tos Estados Unidos Mexicanos, pues la autoridad responsable ha incumplido con su deber de garantizar una </w:t>
      </w:r>
      <w:r w:rsidR="00746AB3" w:rsidRPr="00682F93">
        <w:t>impartición</w:t>
      </w:r>
      <w:r w:rsidR="008B7FDF" w:rsidRPr="00682F93">
        <w:t xml:space="preserve"> de justicia pronta, completa e </w:t>
      </w:r>
      <w:r w:rsidR="00746AB3" w:rsidRPr="00682F93">
        <w:t>im</w:t>
      </w:r>
      <w:r w:rsidR="008B7FDF" w:rsidRPr="00682F93">
        <w:t xml:space="preserve">parcial, al no resolver en tiempo y forma </w:t>
      </w:r>
      <w:r w:rsidR="00B325A0" w:rsidRPr="00682F93">
        <w:t>la promoción</w:t>
      </w:r>
      <w:r w:rsidR="008B7FDF" w:rsidRPr="00682F93">
        <w:t xml:space="preserve"> promovid</w:t>
      </w:r>
      <w:r w:rsidR="00B325A0" w:rsidRPr="00682F93">
        <w:t>a</w:t>
      </w:r>
      <w:r w:rsidR="008B7FDF" w:rsidRPr="00682F93">
        <w:t xml:space="preserve"> por el suscrito el día </w:t>
      </w:r>
      <w:r w:rsidR="00B325A0" w:rsidRPr="00682F93">
        <w:t>06</w:t>
      </w:r>
      <w:r w:rsidR="008B7FDF" w:rsidRPr="00682F93">
        <w:t xml:space="preserve"> de </w:t>
      </w:r>
      <w:r w:rsidR="00B325A0" w:rsidRPr="00682F93">
        <w:t>mayo</w:t>
      </w:r>
      <w:r w:rsidR="008B7FDF" w:rsidRPr="00682F93">
        <w:t xml:space="preserve"> de 202</w:t>
      </w:r>
      <w:r w:rsidR="00B325A0" w:rsidRPr="00682F93">
        <w:t>6</w:t>
      </w:r>
      <w:r w:rsidR="008B7FDF" w:rsidRPr="00682F93">
        <w:t>. No obstante, la autoridad</w:t>
      </w:r>
      <w:r w:rsidR="00682F93">
        <w:t xml:space="preserve"> </w:t>
      </w:r>
      <w:r w:rsidR="008B7FDF" w:rsidRPr="00682F93">
        <w:t>responsable ha transgredido dicho mandato legal, pues a la fecha no ha emitido resolución alguna ni ha dado trámite a</w:t>
      </w:r>
      <w:r w:rsidR="00B325A0" w:rsidRPr="00682F93">
        <w:t xml:space="preserve"> </w:t>
      </w:r>
      <w:r w:rsidR="008B7FDF" w:rsidRPr="00682F93">
        <w:t>l</w:t>
      </w:r>
      <w:r w:rsidR="00B325A0" w:rsidRPr="00682F93">
        <w:t>a</w:t>
      </w:r>
      <w:r w:rsidR="008B7FDF" w:rsidRPr="00682F93">
        <w:t xml:space="preserve"> </w:t>
      </w:r>
      <w:r w:rsidR="00B325A0" w:rsidRPr="00682F93">
        <w:t>promoción</w:t>
      </w:r>
      <w:r w:rsidR="008B7FDF" w:rsidRPr="00682F93">
        <w:t xml:space="preserve"> interpuest</w:t>
      </w:r>
      <w:r w:rsidR="00B325A0" w:rsidRPr="00682F93">
        <w:t>a</w:t>
      </w:r>
      <w:r w:rsidR="008B7FDF" w:rsidRPr="00682F93">
        <w:t>, incump</w:t>
      </w:r>
      <w:r w:rsidR="00746AB3" w:rsidRPr="00682F93">
        <w:t>li</w:t>
      </w:r>
      <w:r w:rsidR="008B7FDF" w:rsidRPr="00682F93">
        <w:t xml:space="preserve">endo </w:t>
      </w:r>
      <w:r w:rsidR="00B325A0" w:rsidRPr="00682F93">
        <w:t xml:space="preserve">con lo </w:t>
      </w:r>
      <w:r w:rsidR="008B7FDF" w:rsidRPr="00682F93">
        <w:t>que la ley establece. Esta inactividad judicial constituye una c</w:t>
      </w:r>
      <w:r w:rsidR="00B325A0" w:rsidRPr="00682F93">
        <w:t>l</w:t>
      </w:r>
      <w:r w:rsidR="008B7FDF" w:rsidRPr="00682F93">
        <w:t>ara denegación de justicia que vulnera el derecho constitucional de acceso efectivo a la justicia previsto en el artículo 17, el cual dispone que "toda persona tiene derecho a que se le administre justicia de manera pronta, completa e imparcia</w:t>
      </w:r>
      <w:r w:rsidR="00746AB3" w:rsidRPr="00682F93">
        <w:t>l</w:t>
      </w:r>
      <w:r w:rsidR="00B325A0" w:rsidRPr="00682F93">
        <w:t>”</w:t>
      </w:r>
      <w:r w:rsidR="008B7FDF" w:rsidRPr="00682F93">
        <w:t xml:space="preserve">. En consecuencia, la inactividad y omisión de la autoridad responsable configuran una violación directa al </w:t>
      </w:r>
      <w:r w:rsidR="00746AB3" w:rsidRPr="00682F93">
        <w:t>artículo</w:t>
      </w:r>
      <w:r w:rsidR="008B7FDF" w:rsidRPr="00682F93">
        <w:t xml:space="preserve"> 17 constitucional, pues se priva al quejoso de una tutela judicial efectiva y de una resolución oportuna que le permita continuar con el trámite legal de su asunto.</w:t>
      </w:r>
    </w:p>
    <w:p w14:paraId="7739E702" w14:textId="77777777" w:rsidR="00B325A0" w:rsidRDefault="00B325A0" w:rsidP="00F47EEC">
      <w:pPr>
        <w:widowControl w:val="0"/>
        <w:spacing w:line="360" w:lineRule="auto"/>
        <w:jc w:val="both"/>
        <w:rPr>
          <w:b/>
          <w:bCs/>
        </w:rPr>
      </w:pPr>
    </w:p>
    <w:p w14:paraId="654351B1" w14:textId="2E6BFDBD" w:rsidR="00F47EEC" w:rsidRDefault="00B325A0" w:rsidP="00F47EEC">
      <w:pPr>
        <w:widowControl w:val="0"/>
        <w:spacing w:line="360" w:lineRule="auto"/>
        <w:jc w:val="both"/>
        <w:rPr>
          <w:b/>
          <w:bCs/>
        </w:rPr>
      </w:pPr>
      <w:r>
        <w:rPr>
          <w:b/>
          <w:bCs/>
        </w:rPr>
        <w:t>TERCER</w:t>
      </w:r>
      <w:r w:rsidR="00F47EEC">
        <w:rPr>
          <w:b/>
          <w:bCs/>
        </w:rPr>
        <w:t xml:space="preserve"> CONCEPTO DE VIOLACION. - LA OMISIÓN DEL MINISTERIO PÚBLICO DE CONTESTAR LA SOLICITUD PARA QUE EN MI CARÁCTER DE IMPUTADO SE ME OTORGE ACCESO A LA CARPETA DE INVESTIGACIÓN EN SU VERTIENTE DE LA VIOLACIÓN DEL DERECHO HUMANO CONTENIDO EN EL ARTÍCULO 20 APARTADO B FRACCIÓN VI</w:t>
      </w:r>
      <w:r w:rsidR="00682F93">
        <w:rPr>
          <w:b/>
          <w:bCs/>
        </w:rPr>
        <w:t>.</w:t>
      </w:r>
    </w:p>
    <w:p w14:paraId="11FB0D69" w14:textId="7B5AC13C" w:rsidR="00F47EEC" w:rsidRDefault="00B42F8F" w:rsidP="00F47EEC">
      <w:pPr>
        <w:pBdr>
          <w:top w:val="nil"/>
          <w:left w:val="nil"/>
          <w:bottom w:val="nil"/>
          <w:right w:val="nil"/>
          <w:between w:val="nil"/>
        </w:pBdr>
        <w:spacing w:line="360" w:lineRule="auto"/>
        <w:jc w:val="both"/>
      </w:pPr>
      <w:r w:rsidRPr="00B42F8F">
        <w:rPr>
          <w:b/>
          <w:bCs/>
        </w:rPr>
        <w:t>PRIMER REFUTATIO .-</w:t>
      </w:r>
      <w:r>
        <w:t xml:space="preserve"> </w:t>
      </w:r>
      <w:r w:rsidR="00F47EEC">
        <w:t xml:space="preserve">De acuerdo a lo que establece la constitución en sus artículos 1, 8 y 20 de la Constitución General de la República, así como también el artículo 113 fracción VIII, relacionado con los artículos 118, 218 y 219 del Código Nacional de Procedimientos Penales, tengo derecho de tener acceso a la carpeta de investigación y copias de la misma, en el entendido, que el artículo 216 del citado código establece claramente el acto de molestia, en ese sentido se tiene que, es un hecho que se me está </w:t>
      </w:r>
      <w:r w:rsidR="00F47EEC">
        <w:lastRenderedPageBreak/>
        <w:t xml:space="preserve">investigando por parte </w:t>
      </w:r>
      <w:r w:rsidR="00100A05">
        <w:t xml:space="preserve">de la autoridad responsable, </w:t>
      </w:r>
      <w:r w:rsidR="00F47EEC">
        <w:t xml:space="preserve">y </w:t>
      </w:r>
      <w:r w:rsidR="00100A05">
        <w:t xml:space="preserve">por lo que, en la </w:t>
      </w:r>
      <w:proofErr w:type="spellStart"/>
      <w:r w:rsidR="00100A05">
        <w:t>suposició</w:t>
      </w:r>
      <w:r>
        <w:t>d</w:t>
      </w:r>
      <w:r w:rsidR="00100A05">
        <w:t>n</w:t>
      </w:r>
      <w:proofErr w:type="spellEnd"/>
      <w:r w:rsidR="00100A05">
        <w:t xml:space="preserve"> que incluso ya se</w:t>
      </w:r>
      <w:r w:rsidR="00F47EEC">
        <w:t xml:space="preserve"> están girando diversos oficios para efectos</w:t>
      </w:r>
      <w:r>
        <w:t xml:space="preserve"> de</w:t>
      </w:r>
      <w:r w:rsidR="00F47EEC">
        <w:t xml:space="preserve"> obtener datos del </w:t>
      </w:r>
      <w:r>
        <w:t>hoy quejoso</w:t>
      </w:r>
      <w:r w:rsidR="00F47EEC">
        <w:t xml:space="preserve"> y que se me ha estado localizando, luego entonces, ya se me está vulnerando a mi derecho de intimidad y  mi vida privada por lo tanto, se me tiene que tener acceso a los registros de investigación y así lo establece la jurisprudencia número 2030556, emitida por la Primera Sala, bajo el rubro </w:t>
      </w:r>
      <w:r w:rsidR="00F47EEC">
        <w:rPr>
          <w:b/>
          <w:bCs/>
        </w:rPr>
        <w:t>ACTO DE MOLESTIA QUE DETONA EL DERECHO DE ACCEDER A LOS REGISTROS DE UNA INVESTIGACIÓN, SE ACTUALIZA CUANDO UNA PERSONA ES BUSCADA EN SU DOMICILIO CON MOTIVO DE UNA CARPETA ABIERTA EN SU CONTRA</w:t>
      </w:r>
      <w:r w:rsidR="00F47EEC">
        <w:rPr>
          <w:vertAlign w:val="superscript"/>
        </w:rPr>
        <w:footnoteReference w:id="2"/>
      </w:r>
      <w:r w:rsidR="00F47EEC">
        <w:t xml:space="preserve">, se actualiza cuando una persona es buscada en su domicilio por motivos de una carpeta abierta en su contra, luego entonces se tiene que independientemente que, se me otorgue la calidad de imputado, es preciso establecer que se ha violado mi derecho humano intimidad y vida privada, y tan es así, que </w:t>
      </w:r>
      <w:r>
        <w:t>la autoridad responsable</w:t>
      </w:r>
      <w:r w:rsidR="00F47EEC">
        <w:t xml:space="preserve"> al recibir la denuncia y/o querella presentada en mi contra y al haber girado oficios de investigación, queda en primer lugar establecido, el hecho que ya mi nombre se encuentra sujeta a una investigación y mi nombre está íntimamente ligado a mi persona, </w:t>
      </w:r>
      <w:r>
        <w:t>en razón a lo anterior</w:t>
      </w:r>
      <w:r w:rsidR="00F47EEC">
        <w:t xml:space="preserve"> tengo derecho de saber los motivos originales de los oficios que ha emitido y la denuncia y/o querella presentada en mi contra, por tal motivo solicit</w:t>
      </w:r>
      <w:r w:rsidR="00F96446">
        <w:t>é</w:t>
      </w:r>
      <w:r w:rsidR="00F47EEC">
        <w:t xml:space="preserve"> que me </w:t>
      </w:r>
      <w:r w:rsidR="00F96446">
        <w:t>dé</w:t>
      </w:r>
      <w:r>
        <w:t xml:space="preserve"> acceso y</w:t>
      </w:r>
      <w:r w:rsidR="00F47EEC">
        <w:t xml:space="preserve"> copia de la carpeta de investigación</w:t>
      </w:r>
      <w:r>
        <w:t>.</w:t>
      </w:r>
    </w:p>
    <w:p w14:paraId="227A4C00" w14:textId="77777777" w:rsidR="00F47EEC" w:rsidRDefault="00F47EEC" w:rsidP="00F47EEC">
      <w:pPr>
        <w:widowControl w:val="0"/>
        <w:spacing w:line="360" w:lineRule="auto"/>
        <w:jc w:val="both"/>
        <w:rPr>
          <w:b/>
          <w:bCs/>
        </w:rPr>
      </w:pPr>
    </w:p>
    <w:p w14:paraId="76B5D832" w14:textId="0CCF5404" w:rsidR="00F47EEC" w:rsidRDefault="00F47EEC" w:rsidP="00F47EEC">
      <w:pPr>
        <w:widowControl w:val="0"/>
        <w:spacing w:line="360" w:lineRule="auto"/>
        <w:jc w:val="both"/>
      </w:pPr>
      <w:r>
        <w:rPr>
          <w:b/>
          <w:bCs/>
        </w:rPr>
        <w:t>SEGUNDO REFUTATIO. -</w:t>
      </w:r>
      <w:r>
        <w:t xml:space="preserve"> No se debe pasar por alto que el aquí quejoso tiene derechos humanos y procesales en el carácter de imputado con el que cuenta en la carpeta de investigación de la cual deriva el presente asunto, pues el artículo 20, apartado </w:t>
      </w:r>
      <w:r w:rsidR="00F96446">
        <w:t>B</w:t>
      </w:r>
      <w:r>
        <w:t>, fracción VI constitucional reconoce al imputado el derecho a tener acceso a la carpeta de investigación, derecho que no debe ser condicionado por la autoridad investigadora.</w:t>
      </w:r>
    </w:p>
    <w:p w14:paraId="3933ED4D" w14:textId="77777777" w:rsidR="00F47EEC" w:rsidRDefault="00F47EEC" w:rsidP="00F47EEC">
      <w:pPr>
        <w:widowControl w:val="0"/>
        <w:spacing w:after="240" w:line="360" w:lineRule="auto"/>
        <w:jc w:val="both"/>
      </w:pPr>
      <w:r>
        <w:t>El impedir el acceso, la autoridad coloca al imputado en un estado de indefensión, pues le impide conocer el contenido de la investigación, ejercer adecuadamente su derecho de defenderse, formular solicitudes, aportar datos de prueba o impugnar determinaciones en el procedimiento de investigación en la que me encuentro.</w:t>
      </w:r>
    </w:p>
    <w:p w14:paraId="1DEC69E5" w14:textId="77777777" w:rsidR="00F47EEC" w:rsidRDefault="00F47EEC">
      <w:pPr>
        <w:widowControl w:val="0"/>
        <w:spacing w:before="240" w:after="240" w:line="360" w:lineRule="auto"/>
        <w:jc w:val="both"/>
      </w:pPr>
    </w:p>
    <w:p w14:paraId="1DBDAABB" w14:textId="77777777" w:rsidR="003511ED" w:rsidRDefault="00000000">
      <w:pPr>
        <w:spacing w:before="240" w:after="240" w:line="360" w:lineRule="auto"/>
        <w:jc w:val="center"/>
        <w:rPr>
          <w:b/>
          <w:bCs/>
        </w:rPr>
      </w:pPr>
      <w:r>
        <w:rPr>
          <w:b/>
          <w:bCs/>
        </w:rPr>
        <w:lastRenderedPageBreak/>
        <w:t>IX. CAPÍTULO DE SUSPENSIÓN</w:t>
      </w:r>
    </w:p>
    <w:p w14:paraId="2C3D6DE3" w14:textId="1B072950" w:rsidR="00F96446" w:rsidRDefault="00F96446" w:rsidP="00B42F8F">
      <w:pPr>
        <w:spacing w:before="240" w:after="240" w:line="360" w:lineRule="auto"/>
        <w:jc w:val="both"/>
      </w:pPr>
      <w:r>
        <w:t xml:space="preserve">En términos de los artículos 125, 126, 127, 128, 129 y demás relativos de la Ley de Amparo, solicitó a su Señoría la suspensión provisional y en su oportunidad la definitiva de los actos que de las Autoridades Responsables se reclaman por ser violatorios a los derechos humanos del quejoso (tutela anticipada), se ordene al ministerio público responsable, a fin de poder tener acceso a una defensa adecuada se me de acceso y copias de la carpeta de investigación </w:t>
      </w:r>
      <w:r>
        <w:rPr>
          <w:b/>
          <w:bCs/>
        </w:rPr>
        <w:t>FGE/UROO/BJ/03/6080/2026</w:t>
      </w:r>
      <w:r>
        <w:t>.</w:t>
      </w:r>
    </w:p>
    <w:p w14:paraId="104B8048" w14:textId="77777777" w:rsidR="003511ED" w:rsidRDefault="00000000" w:rsidP="0077216D">
      <w:pPr>
        <w:spacing w:after="220" w:line="360" w:lineRule="auto"/>
        <w:ind w:right="20" w:firstLine="720"/>
        <w:jc w:val="both"/>
      </w:pPr>
      <w:r>
        <w:t>La fracción X del artículo 107 constitucional, establece que tratándose de las controversias del artículo 103 de la norma constitucional -con excepción de aquellas en materia electoral- se sujetará el trámite del juicio de amparo a los procedimientos que determine la ley reglamentaria, de acuerdo con las bases que se señalan en el propio numeral 107 de la normativa básica, destacando que la citada fracción X señala que todos los actos reclamados en amparo podrán ser objeto de suspensión, en los casos y mediante las condiciones (no confundir con requisitos) que determine la ley reglamentaria, para lo cual el órgano jurisdiccional de amparo, cuando la naturaleza del acto lo permita, deberá realizar un análisis ponderado de la apariencia del buen derecho, del orden público y del interés social.</w:t>
      </w:r>
    </w:p>
    <w:p w14:paraId="3B851469" w14:textId="77777777" w:rsidR="003511ED" w:rsidRDefault="00000000" w:rsidP="0077216D">
      <w:pPr>
        <w:spacing w:after="220" w:line="360" w:lineRule="auto"/>
        <w:ind w:right="20" w:firstLine="720"/>
        <w:jc w:val="both"/>
      </w:pPr>
      <w:r>
        <w:t>Para tal efecto, se privilegia la discrecionalidad de los jueces consagrando expresamente como elemento a considerar para el otorgamiento de la suspensión la apariencia de buen derecho, requisito éste reconocido por la Suprema Corte de Justicia y que constituye uno de los avances más importantes en la evolución del juicio de amparo en las últimas décadas.</w:t>
      </w:r>
    </w:p>
    <w:p w14:paraId="7B6CDA34" w14:textId="77777777" w:rsidR="003511ED" w:rsidRDefault="00000000" w:rsidP="0077216D">
      <w:pPr>
        <w:spacing w:after="220" w:line="360" w:lineRule="auto"/>
        <w:ind w:right="20" w:firstLine="720"/>
        <w:jc w:val="both"/>
      </w:pPr>
      <w:r>
        <w:t>Sin embargo, para asegurar su correcta aplicación, se establece la obligación del Juez de realizar un análisis ponderado entre la no afectación del interés social y el orden público y la apariencia de buen derecho. Con esto se logra que la medida cautelar sea eficaz y que no se concedan suspensiones que molestan la sensibilidad de la sociedad. Adicionalmente a lo anterior, en la legislación secundaria del juicio de amparo en vigor, concretamente en el artículo 75 se instituye (entre otros) el principio general de la función jurisdiccional de amparo consistente en que los juzgadores federales del conocimiento deben apreciar los actos reclamados tal como aparezcan probados ante las responsables, aspecto en el cual deben considerarse también los diversos principios que se desprenden el artículo 76 de la misma legislación, relativos a que es obligación jurisdiccional atender en todo momento a las cuestiones efectivamente planteada por los quejosos y no incurrir en alteración o modificación de dicha cuestión ni de los hechos.</w:t>
      </w:r>
    </w:p>
    <w:p w14:paraId="19FC09D5" w14:textId="77777777" w:rsidR="003511ED" w:rsidRDefault="00000000" w:rsidP="0077216D">
      <w:pPr>
        <w:spacing w:after="220" w:line="360" w:lineRule="auto"/>
        <w:ind w:right="20" w:firstLine="720"/>
        <w:jc w:val="both"/>
      </w:pPr>
      <w:r>
        <w:t xml:space="preserve">Por otra parte, el artículo 128 de la Ley de Amparo, en el contexto constitucional y legal actual, definitivamente ya no puede ser interpretado como sustitutivo del artículo 124 de la anterior legislación de amparo de 1936, constituían un requisito insuperable para el otorgamiento de la suspensión, ya que en la actualidad es constitucional y legalmente válido el otorgamiento de medidas cautelares de suspensión aun cuando se </w:t>
      </w:r>
      <w:r>
        <w:lastRenderedPageBreak/>
        <w:t>siga perjuicio el interés social y se contravengan disposiciones de orden público, siempre que las afectaciones a dichos aspectos sean menores en comparación a la entidad y gravedad de las afectaciones que puedan repercutir en la esfera de derechos del quejoso, apreciado desde la perspectiva de la apariencia del buen derecho (</w:t>
      </w:r>
      <w:proofErr w:type="spellStart"/>
      <w:r>
        <w:t>fumus</w:t>
      </w:r>
      <w:proofErr w:type="spellEnd"/>
      <w:r>
        <w:t xml:space="preserve"> </w:t>
      </w:r>
      <w:proofErr w:type="spellStart"/>
      <w:r>
        <w:t>boni</w:t>
      </w:r>
      <w:proofErr w:type="spellEnd"/>
      <w:r>
        <w:t xml:space="preserve"> iuris), regla que se confirma con lo dispuesto por el artículo 138 de la Ley de Amparo, que reitera la mecánica de la ponderación como metodología para el otorgamiento de la suspensión como ordena la premisa constitucional antes señalada; contexto en el cual, de ser procedente la medida contra el acto reclamado, así como contra sus efectos y consecuencias, la suspensión surtirá sus efectos desde que se pronuncie el acuerdo relativo aun cuando se ha recurrido (artículo 136) y en caso de conceder se la suspensión, el juzgador podrá fijar en caso de ser necesario los requisitos y efectos de la medida (artículo 138, fracción I).</w:t>
      </w:r>
    </w:p>
    <w:p w14:paraId="7511FD7A" w14:textId="77777777" w:rsidR="003511ED" w:rsidRDefault="00000000" w:rsidP="0077216D">
      <w:pPr>
        <w:spacing w:after="220" w:line="360" w:lineRule="auto"/>
        <w:ind w:right="20" w:firstLine="720"/>
        <w:jc w:val="both"/>
      </w:pPr>
      <w:r>
        <w:t>Adicionalmente debe considerarse que siempre que exista peligro inminente de que se ejecute el acto reclamado, o de que se causen perjuicios de difícil reparación para el quejoso, el órgano jurisdiccional deberá proceder con prudencia cautelar, es decir, preferir la protección de un derecho antes que generar estado donde sea mayor la dificultad o incluso la imposibilidad de restitución, lo que se logra ordenando inmediatamente que las cosas se mantengan en el estado que guarden hasta que se notifique la resolución sobre la suspensión definitiva, tomando las medidas que estime convenientes para que no se defrauden derechos de terceros y se eviten cualquier clase de perjuicios, como también evitando que quede sin materia el juicio de amparo.</w:t>
      </w:r>
    </w:p>
    <w:p w14:paraId="4E362E00" w14:textId="77777777" w:rsidR="003511ED" w:rsidRDefault="00000000" w:rsidP="0077216D">
      <w:pPr>
        <w:spacing w:line="360" w:lineRule="auto"/>
        <w:ind w:right="20" w:firstLine="720"/>
        <w:jc w:val="both"/>
      </w:pPr>
      <w:r>
        <w:t>Por su parte el artículo 147 de la ley de la materia, establece que siempre que sea procedente el otorgamiento de la suspensión, corresponde al órgano jurisdiccional fijar la situación en que habrán de quedar las cosas y tomará las medidas pertinentes para conservar la materia del amparo hasta la terminación del juicio, pudiendo establecerse condiciones de cuyo cumplimiento (por parte del quejoso, por parte de las autoridades responsables o incluso de terceros) dependa el que la suspensión cautelar siga surtiendo sus efectos; como también, en atención a la naturaleza del acto reclamado, el juez puede ordenar que las cosas se mantengan en el estado que guardan, por igualmente, en casos en que se jurídica y materialmente posible, puede restablecer provisionalmente al quejoso en el goce del derecho violado mientras se dicta sentencia ejecutoria en el juicio, lo que en el lenguaje procesal de las medidas cautelares se conoce como "efecto anticipatorio".</w:t>
      </w:r>
    </w:p>
    <w:p w14:paraId="0F8F996F" w14:textId="77777777" w:rsidR="003511ED" w:rsidRDefault="00000000" w:rsidP="0077216D">
      <w:pPr>
        <w:spacing w:line="360" w:lineRule="auto"/>
        <w:ind w:right="20" w:firstLine="720"/>
        <w:jc w:val="both"/>
      </w:pPr>
      <w:r>
        <w:t xml:space="preserve"> </w:t>
      </w:r>
    </w:p>
    <w:p w14:paraId="12FDEC3A" w14:textId="77777777" w:rsidR="003511ED" w:rsidRDefault="00000000" w:rsidP="0077216D">
      <w:pPr>
        <w:spacing w:after="220" w:line="360" w:lineRule="auto"/>
        <w:ind w:right="20" w:firstLine="720"/>
        <w:jc w:val="both"/>
      </w:pPr>
      <w:r>
        <w:t xml:space="preserve">Las anteriores consideraciones, con la lectura de la ejecutoria de valor jurisprudencial y obligatorio dictada por el Tribunal Pleno de la Suprema Corte de Justicia de la Nación, al resolver la contradicción de tesis 146/2019 en sesión de 7 de mayo de 2020; fallo en el cual el propio pleno instituye con carácter obligatorio la interpretación consistente en estimar que la reforma constitucional de 5 de junio de 2011 a las bases fundamentales del juicio de amparo trajo consigo un cambio total de paradigma en materia de suspensión, abandonando completamente el anterior sistema de una medida </w:t>
      </w:r>
      <w:proofErr w:type="spellStart"/>
      <w:r>
        <w:lastRenderedPageBreak/>
        <w:t>suspensional</w:t>
      </w:r>
      <w:proofErr w:type="spellEnd"/>
      <w:r>
        <w:t xml:space="preserve"> con características meramente paralizante e introduciendo un nuevo y renovado sistema de medidas cautelares; también se establece como criterio obligatorio el considerar el análisis ponderado y equilibrado a que se refiere la fracción X del artículo 107 constitucional como la metodología jurisprudencial mente obligatoria por parte de los juzgadores para decidir en materia de suspensión, del mismo modo que la dificultad o imposibilidad en la reparación ya no constituye un requisito de suspensión pero sí un criterio relevante de valoración para decidir jurisdiccionalmente sobre su otorgamiento, de la misma manera que se instituye jurisprudencialmente y con carácter obligatorio que la suspensión puede tener dos tipos de efectos: a) El efecto conservativo, que identifica a la medida cautelar de suspensión solamente como un sistema paralizante de los efectos y consecuencias de los actos reclamados, por ser eficiente (en función el caso concreto) para asegurar que la parte quejosa no sufra afectaciones, daños y perjuicios mientras se sustancia el juicio de amparo hasta la sentencia de fondo; y b) El diverso efecto de tutela anticipada o anticipatoria, es decir, si el efecto conservativo meramente paralizante no puede garantizar que la parte quejosa no sufra ninguna clase de daños y perjuicios mientras se tramita en el fondo el juicio de amparo, entonces el órgano jurisdiccional puede acudir a esta modalidad conforme la cual es posible restablecer al quejoso en el goce de la garantía o derecho afectado con el acto reclamado, evitando no constituir ningún derecho que no tuviera el quejoso antes de la presentación de la demanda, lo que significa que si el derecho existía con anterioridad la presentación de la demanda, entonces la restitución es procedente, del mismo modo que en función de la apariencia del buen derecho y sin constituir ningún derecho que no fuera preexistente- es posible asegurar a la parte quejosa los efectos de la sentencia de fondo desde el otorgamiento de la suspensión, todo lo cual se desprende del artículo 147 de la Ley de Amparo.</w:t>
      </w:r>
    </w:p>
    <w:p w14:paraId="325C29B0" w14:textId="77777777" w:rsidR="003511ED" w:rsidRDefault="00000000">
      <w:pPr>
        <w:spacing w:before="240" w:after="240" w:line="360" w:lineRule="auto"/>
        <w:jc w:val="both"/>
      </w:pPr>
      <w:r>
        <w:t>En concreto, se solicita la suspensión cumpliendo sus requisitos de procedencia:</w:t>
      </w:r>
    </w:p>
    <w:p w14:paraId="7633ED74" w14:textId="59471B08" w:rsidR="003511ED" w:rsidRDefault="00000000" w:rsidP="00F96446">
      <w:pPr>
        <w:spacing w:before="240" w:after="240" w:line="360" w:lineRule="auto"/>
        <w:ind w:left="720"/>
        <w:jc w:val="both"/>
      </w:pPr>
      <w:r>
        <w:t>a)</w:t>
      </w:r>
      <w:r w:rsidR="00F96446">
        <w:t xml:space="preserve"> El acto omiso</w:t>
      </w:r>
    </w:p>
    <w:p w14:paraId="6EC9D829" w14:textId="670F8F90" w:rsidR="003511ED" w:rsidRDefault="00000000" w:rsidP="00F96446">
      <w:pPr>
        <w:spacing w:before="240" w:after="240" w:line="360" w:lineRule="auto"/>
        <w:ind w:left="720"/>
        <w:jc w:val="both"/>
      </w:pPr>
      <w:r>
        <w:t xml:space="preserve">b) El acto reclamado, la autoridad ministerial </w:t>
      </w:r>
      <w:r w:rsidR="00F96446">
        <w:t>al no responder</w:t>
      </w:r>
      <w:r>
        <w:t xml:space="preserve"> se me niega el acceso a la carpeta de investigación.</w:t>
      </w:r>
    </w:p>
    <w:p w14:paraId="507688F1" w14:textId="77777777" w:rsidR="003511ED" w:rsidRDefault="00000000">
      <w:pPr>
        <w:spacing w:before="240" w:after="240" w:line="360" w:lineRule="auto"/>
        <w:ind w:left="720"/>
        <w:jc w:val="both"/>
      </w:pPr>
      <w:r>
        <w:tab/>
        <w:t>La Constitución, establece claramente en el artículo 21, que es al ministerio público la investigación de los delitos, y es claro, es a la fiscalía a quien le corresponde decidir sobre dicha circunstancia, y no así al Juez.</w:t>
      </w:r>
    </w:p>
    <w:p w14:paraId="33A0EC5C" w14:textId="77777777" w:rsidR="003511ED" w:rsidRDefault="00000000">
      <w:pPr>
        <w:spacing w:before="213" w:line="360" w:lineRule="auto"/>
        <w:jc w:val="center"/>
        <w:rPr>
          <w:b/>
          <w:bCs/>
        </w:rPr>
      </w:pPr>
      <w:r>
        <w:rPr>
          <w:b/>
          <w:bCs/>
        </w:rPr>
        <w:t>X- COMPETENCIA</w:t>
      </w:r>
    </w:p>
    <w:p w14:paraId="27CE581D" w14:textId="77777777" w:rsidR="00EA281E" w:rsidRDefault="00EA281E">
      <w:pPr>
        <w:spacing w:before="213" w:line="360" w:lineRule="auto"/>
        <w:jc w:val="center"/>
        <w:rPr>
          <w:b/>
          <w:bCs/>
        </w:rPr>
      </w:pPr>
    </w:p>
    <w:p w14:paraId="3F984230" w14:textId="77777777" w:rsidR="003511ED" w:rsidRDefault="00000000">
      <w:pPr>
        <w:spacing w:line="360" w:lineRule="auto"/>
        <w:jc w:val="both"/>
      </w:pPr>
      <w:r>
        <w:t xml:space="preserve">Es Usted competente para conocer del presente juicio de garantías, con fundamento en lo establecido por la Ley de Amparo en su artículo 37, 107, 108, 109, 110 y 111; toda vez que es un acto que causa perjuicio sustancial a los derechos humanos de la suscrita en una carpeta de investigación, siendo que a su vez el acto reclamado no cuenta con una </w:t>
      </w:r>
      <w:r>
        <w:lastRenderedPageBreak/>
        <w:t>tramitación especial para la solución de dicho conflicto. Aunado a que este H. Juzgado de distrito resulta competente pues el acto reclamado se cometió en la Ciudad de la Cancún Quintana Roo, y el Juzgado con jurisdicción en tal lugar radica en esta misma ciudad.</w:t>
      </w:r>
    </w:p>
    <w:p w14:paraId="4F301131" w14:textId="77777777" w:rsidR="003511ED" w:rsidRDefault="003511ED">
      <w:pPr>
        <w:spacing w:line="360" w:lineRule="auto"/>
        <w:jc w:val="both"/>
      </w:pPr>
    </w:p>
    <w:p w14:paraId="021051E8" w14:textId="77777777" w:rsidR="003511ED" w:rsidRDefault="00000000">
      <w:pPr>
        <w:spacing w:line="360" w:lineRule="auto"/>
        <w:jc w:val="both"/>
        <w:rPr>
          <w:b/>
          <w:bCs/>
        </w:rPr>
      </w:pPr>
      <w:r>
        <w:rPr>
          <w:b/>
          <w:bCs/>
        </w:rPr>
        <w:t>Por lo antes expuesto y fundado, A Usted C. Juez de Distrito, atentamente pido se sirva:</w:t>
      </w:r>
    </w:p>
    <w:p w14:paraId="4722E13C" w14:textId="77777777" w:rsidR="003511ED" w:rsidRDefault="003511ED">
      <w:pPr>
        <w:spacing w:line="360" w:lineRule="auto"/>
        <w:jc w:val="both"/>
        <w:rPr>
          <w:b/>
          <w:bCs/>
        </w:rPr>
      </w:pPr>
    </w:p>
    <w:p w14:paraId="20279E3B" w14:textId="1EB8C03F" w:rsidR="003511ED" w:rsidRDefault="00EA281E">
      <w:pPr>
        <w:spacing w:line="360" w:lineRule="auto"/>
        <w:jc w:val="both"/>
      </w:pPr>
      <w:r>
        <w:rPr>
          <w:b/>
          <w:bCs/>
        </w:rPr>
        <w:t>PRIMERO. -</w:t>
      </w:r>
      <w:r>
        <w:rPr>
          <w:b/>
          <w:bCs/>
        </w:rPr>
        <w:tab/>
      </w:r>
      <w:r>
        <w:t>Tenerme por presentado con la personalidad que me ostento, en términos de este ocurso, demandando el Amparo y Protección de la Justicia Federal en contra de los actos de autoridad que han quedado debidamente precisados, emitiéndose el presente juicio de amparo que se instaura, por ser oportuno y procedente; así como al tomarse en cuenta que los actos señalados como reclamados implican peligro de privación de la libertad del quejoso.</w:t>
      </w:r>
    </w:p>
    <w:p w14:paraId="2AEE0956" w14:textId="77777777" w:rsidR="003511ED" w:rsidRDefault="003511ED">
      <w:pPr>
        <w:spacing w:line="360" w:lineRule="auto"/>
        <w:jc w:val="both"/>
        <w:rPr>
          <w:b/>
          <w:bCs/>
        </w:rPr>
      </w:pPr>
    </w:p>
    <w:p w14:paraId="08E90229" w14:textId="3A0B3BDB" w:rsidR="003511ED" w:rsidRDefault="00EA281E">
      <w:pPr>
        <w:spacing w:line="360" w:lineRule="auto"/>
        <w:jc w:val="both"/>
      </w:pPr>
      <w:r>
        <w:rPr>
          <w:b/>
          <w:bCs/>
        </w:rPr>
        <w:t xml:space="preserve">SEGUNDO. - </w:t>
      </w:r>
      <w:r>
        <w:t>Tener por autorizados a los profesionistas y las personas citadas en el proemio de la presente demanda de amparo, para los efectos que se precisan.</w:t>
      </w:r>
    </w:p>
    <w:p w14:paraId="6E04912B" w14:textId="77777777" w:rsidR="003511ED" w:rsidRDefault="003511ED">
      <w:pPr>
        <w:spacing w:line="360" w:lineRule="auto"/>
        <w:jc w:val="both"/>
        <w:rPr>
          <w:b/>
          <w:bCs/>
        </w:rPr>
      </w:pPr>
    </w:p>
    <w:p w14:paraId="40421A41" w14:textId="2ABCFCFA" w:rsidR="003511ED" w:rsidRDefault="00EA281E">
      <w:pPr>
        <w:spacing w:line="360" w:lineRule="auto"/>
        <w:jc w:val="both"/>
      </w:pPr>
      <w:r>
        <w:rPr>
          <w:b/>
          <w:bCs/>
        </w:rPr>
        <w:t xml:space="preserve">TERCERO. - </w:t>
      </w:r>
      <w:r>
        <w:t>Se conceda la suspensión provisional y en su oportunidad definitiva.</w:t>
      </w:r>
    </w:p>
    <w:p w14:paraId="42F5FE5D" w14:textId="77777777" w:rsidR="003511ED" w:rsidRDefault="003511ED">
      <w:pPr>
        <w:spacing w:line="360" w:lineRule="auto"/>
        <w:jc w:val="both"/>
      </w:pPr>
    </w:p>
    <w:p w14:paraId="722C0BF3" w14:textId="3D2CB0E6" w:rsidR="003511ED" w:rsidRDefault="00EA281E">
      <w:pPr>
        <w:spacing w:line="360" w:lineRule="auto"/>
        <w:jc w:val="both"/>
      </w:pPr>
      <w:r>
        <w:rPr>
          <w:b/>
          <w:bCs/>
        </w:rPr>
        <w:t>CUARTO. -</w:t>
      </w:r>
      <w:r>
        <w:t xml:space="preserve"> Previos los trámites de ley, dictar resolución en la que se </w:t>
      </w:r>
      <w:r>
        <w:rPr>
          <w:u w:val="single"/>
        </w:rPr>
        <w:t>CONCEDA</w:t>
      </w:r>
      <w:r>
        <w:t xml:space="preserve"> al quejoso el Amparo y Protección de la Justicia de la Unión solicitado.</w:t>
      </w:r>
    </w:p>
    <w:p w14:paraId="1ED36523" w14:textId="77777777" w:rsidR="003511ED" w:rsidRDefault="003511ED">
      <w:pPr>
        <w:spacing w:line="360" w:lineRule="auto"/>
        <w:jc w:val="both"/>
        <w:rPr>
          <w:b/>
          <w:bCs/>
        </w:rPr>
      </w:pPr>
    </w:p>
    <w:p w14:paraId="2EDBACEF" w14:textId="77777777" w:rsidR="003511ED" w:rsidRDefault="00000000">
      <w:pPr>
        <w:spacing w:line="360" w:lineRule="auto"/>
        <w:jc w:val="center"/>
        <w:rPr>
          <w:b/>
          <w:bCs/>
        </w:rPr>
      </w:pPr>
      <w:r>
        <w:rPr>
          <w:b/>
          <w:bCs/>
        </w:rPr>
        <w:t>A T E N T A M E N T E.</w:t>
      </w:r>
    </w:p>
    <w:p w14:paraId="3C860FA9" w14:textId="77777777" w:rsidR="003511ED" w:rsidRDefault="003511ED">
      <w:pPr>
        <w:spacing w:line="360" w:lineRule="auto"/>
        <w:rPr>
          <w:b/>
          <w:bCs/>
        </w:rPr>
      </w:pPr>
    </w:p>
    <w:p w14:paraId="7E13A121" w14:textId="77777777" w:rsidR="003511ED" w:rsidRDefault="003511ED">
      <w:pPr>
        <w:spacing w:line="360" w:lineRule="auto"/>
        <w:rPr>
          <w:b/>
          <w:bCs/>
        </w:rPr>
      </w:pPr>
    </w:p>
    <w:p w14:paraId="52196DEB" w14:textId="77777777" w:rsidR="003511ED" w:rsidRDefault="00000000">
      <w:pPr>
        <w:spacing w:line="360" w:lineRule="auto"/>
        <w:jc w:val="center"/>
        <w:rPr>
          <w:b/>
          <w:bCs/>
        </w:rPr>
      </w:pPr>
      <w:r>
        <w:rPr>
          <w:b/>
          <w:bCs/>
        </w:rPr>
        <w:t>_______________________________________________</w:t>
      </w:r>
    </w:p>
    <w:p w14:paraId="349A9ED2" w14:textId="77777777" w:rsidR="003511ED" w:rsidRDefault="00000000">
      <w:pPr>
        <w:spacing w:line="360" w:lineRule="auto"/>
        <w:jc w:val="center"/>
        <w:rPr>
          <w:b/>
          <w:bCs/>
        </w:rPr>
      </w:pPr>
      <w:r>
        <w:rPr>
          <w:b/>
          <w:bCs/>
        </w:rPr>
        <w:t>EDUARDO DE MARTIN ALBOR VILLANUEVA</w:t>
      </w:r>
    </w:p>
    <w:p w14:paraId="2ACBBEF3" w14:textId="61E02244" w:rsidR="003511ED" w:rsidRDefault="0077216D">
      <w:pPr>
        <w:spacing w:line="360" w:lineRule="auto"/>
        <w:jc w:val="center"/>
      </w:pPr>
      <w:r>
        <w:t xml:space="preserve">23 DE </w:t>
      </w:r>
      <w:r w:rsidR="00EA281E">
        <w:t>MAYO</w:t>
      </w:r>
      <w:r>
        <w:t xml:space="preserve"> DEL 2026, CANCÚN, QUINTANA ROO.</w:t>
      </w:r>
    </w:p>
    <w:p w14:paraId="65692FE4" w14:textId="77777777" w:rsidR="003511ED" w:rsidRDefault="003511ED">
      <w:pPr>
        <w:spacing w:line="360" w:lineRule="auto"/>
        <w:jc w:val="center"/>
      </w:pPr>
    </w:p>
    <w:p w14:paraId="0F5F1FD6" w14:textId="77777777" w:rsidR="003511ED" w:rsidRDefault="00000000">
      <w:pPr>
        <w:spacing w:line="360" w:lineRule="auto"/>
        <w:jc w:val="center"/>
        <w:rPr>
          <w:b/>
          <w:bCs/>
          <w:sz w:val="20"/>
          <w:szCs w:val="20"/>
        </w:rPr>
      </w:pPr>
      <w:r>
        <w:rPr>
          <w:b/>
          <w:bCs/>
          <w:sz w:val="20"/>
          <w:szCs w:val="20"/>
        </w:rPr>
        <w:t>PRUEBA Y/O ANEXO</w:t>
      </w:r>
    </w:p>
    <w:p w14:paraId="4F551EB2" w14:textId="77777777" w:rsidR="003511ED" w:rsidRDefault="003511ED">
      <w:pPr>
        <w:spacing w:line="360" w:lineRule="auto"/>
        <w:jc w:val="center"/>
        <w:rPr>
          <w:b/>
          <w:bCs/>
          <w:sz w:val="20"/>
          <w:szCs w:val="20"/>
        </w:rPr>
      </w:pPr>
    </w:p>
    <w:p w14:paraId="0F877739" w14:textId="667A9A52" w:rsidR="003511ED" w:rsidRPr="0077216D" w:rsidRDefault="00000000">
      <w:pPr>
        <w:numPr>
          <w:ilvl w:val="0"/>
          <w:numId w:val="2"/>
        </w:numPr>
        <w:spacing w:line="360" w:lineRule="auto"/>
        <w:jc w:val="both"/>
        <w:rPr>
          <w:sz w:val="20"/>
          <w:szCs w:val="20"/>
        </w:rPr>
      </w:pPr>
      <w:r w:rsidRPr="0077216D">
        <w:rPr>
          <w:sz w:val="20"/>
          <w:szCs w:val="20"/>
        </w:rPr>
        <w:t xml:space="preserve">Acuerdo del 6 de </w:t>
      </w:r>
      <w:r w:rsidR="00EA281E" w:rsidRPr="0077216D">
        <w:rPr>
          <w:sz w:val="20"/>
          <w:szCs w:val="20"/>
        </w:rPr>
        <w:t>mayo</w:t>
      </w:r>
      <w:r w:rsidRPr="0077216D">
        <w:rPr>
          <w:sz w:val="20"/>
          <w:szCs w:val="20"/>
        </w:rPr>
        <w:t xml:space="preserve"> de 2026 </w:t>
      </w:r>
      <w:r w:rsidR="00EA281E" w:rsidRPr="0077216D">
        <w:rPr>
          <w:sz w:val="20"/>
          <w:szCs w:val="20"/>
        </w:rPr>
        <w:t>presentado</w:t>
      </w:r>
      <w:r w:rsidRPr="0077216D">
        <w:rPr>
          <w:sz w:val="20"/>
          <w:szCs w:val="20"/>
        </w:rPr>
        <w:t xml:space="preserve"> </w:t>
      </w:r>
      <w:r w:rsidR="00EA281E" w:rsidRPr="0077216D">
        <w:rPr>
          <w:sz w:val="20"/>
          <w:szCs w:val="20"/>
        </w:rPr>
        <w:t xml:space="preserve">a </w:t>
      </w:r>
      <w:r w:rsidRPr="0077216D">
        <w:rPr>
          <w:sz w:val="20"/>
          <w:szCs w:val="20"/>
        </w:rPr>
        <w:t xml:space="preserve">la autoridad responsable en la carpeta de investigación </w:t>
      </w:r>
      <w:r w:rsidR="00EA281E" w:rsidRPr="0077216D">
        <w:rPr>
          <w:b/>
          <w:bCs/>
          <w:sz w:val="20"/>
          <w:szCs w:val="20"/>
        </w:rPr>
        <w:t xml:space="preserve">FGE/UROO/BJ/03/6080/2026 se anexa copia simple del documento en referencia y BAJO PROTESTA DE DECIR VERDAD QUE ES UNA COPIA FIEL DEL DOCUMENTO ORIGINAL QUE CONSTA EN MI PODER </w:t>
      </w:r>
      <w:r w:rsidRPr="0077216D">
        <w:rPr>
          <w:sz w:val="20"/>
          <w:szCs w:val="20"/>
        </w:rPr>
        <w:t>.</w:t>
      </w:r>
    </w:p>
    <w:p w14:paraId="5AF5700A" w14:textId="77777777" w:rsidR="003511ED" w:rsidRDefault="003511ED">
      <w:pPr>
        <w:spacing w:line="360" w:lineRule="auto"/>
        <w:jc w:val="center"/>
        <w:rPr>
          <w:b/>
          <w:bCs/>
          <w:sz w:val="20"/>
          <w:szCs w:val="20"/>
        </w:rPr>
      </w:pPr>
    </w:p>
    <w:p w14:paraId="14D82187" w14:textId="77777777" w:rsidR="003511ED" w:rsidRDefault="003511ED">
      <w:pPr>
        <w:spacing w:line="360" w:lineRule="auto"/>
        <w:ind w:left="720"/>
        <w:jc w:val="both"/>
        <w:rPr>
          <w:sz w:val="16"/>
          <w:szCs w:val="16"/>
        </w:rPr>
      </w:pPr>
    </w:p>
    <w:sectPr w:rsidR="003511ED">
      <w:footerReference w:type="default" r:id="rId11"/>
      <w:pgSz w:w="12242" w:h="20163"/>
      <w:pgMar w:top="1418" w:right="1134"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27D72" w14:textId="77777777" w:rsidR="003A64DC" w:rsidRDefault="003A64DC">
      <w:r>
        <w:separator/>
      </w:r>
    </w:p>
  </w:endnote>
  <w:endnote w:type="continuationSeparator" w:id="0">
    <w:p w14:paraId="18CAFA30" w14:textId="77777777" w:rsidR="003A64DC" w:rsidRDefault="003A6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DE79712-47FC-41CE-A1C6-5DC9CB68D6FE}"/>
  </w:font>
  <w:font w:name="Segoe UI">
    <w:panose1 w:val="020B0502040204020203"/>
    <w:charset w:val="00"/>
    <w:family w:val="swiss"/>
    <w:pitch w:val="variable"/>
    <w:sig w:usb0="E4002EFF" w:usb1="C000E47F" w:usb2="00000009" w:usb3="00000000" w:csb0="000001FF" w:csb1="00000000"/>
    <w:embedRegular r:id="rId2" w:fontKey="{063C3E55-5DDA-46F5-A78C-D7885853279C}"/>
  </w:font>
  <w:font w:name="Calibri Light">
    <w:panose1 w:val="020F0302020204030204"/>
    <w:charset w:val="00"/>
    <w:family w:val="swiss"/>
    <w:pitch w:val="variable"/>
    <w:sig w:usb0="E4002EFF" w:usb1="C200247B" w:usb2="00000009" w:usb3="00000000" w:csb0="000001FF" w:csb1="00000000"/>
    <w:embedRegular r:id="rId3" w:fontKey="{AB5DDCE9-0054-4B31-90D3-CAB2126B31A0}"/>
  </w:font>
  <w:font w:name="Georgia">
    <w:panose1 w:val="02040502050405020303"/>
    <w:charset w:val="00"/>
    <w:family w:val="roman"/>
    <w:pitch w:val="variable"/>
    <w:sig w:usb0="00000287" w:usb1="00000000" w:usb2="00000000" w:usb3="00000000" w:csb0="0000009F" w:csb1="00000000"/>
    <w:embedItalic r:id="rId4" w:fontKey="{151A3237-B37C-4E53-912F-848CA4D48442}"/>
  </w:font>
  <w:font w:name="Helvetica Neue">
    <w:altName w:val="Sylfaen"/>
    <w:charset w:val="00"/>
    <w:family w:val="auto"/>
    <w:pitch w:val="variable"/>
    <w:sig w:usb0="E50002FF" w:usb1="500079DB" w:usb2="00000010" w:usb3="00000000" w:csb0="00000001" w:csb1="00000000"/>
  </w:font>
  <w:font w:name="Arial Narrow">
    <w:panose1 w:val="020B0606020202030204"/>
    <w:charset w:val="00"/>
    <w:family w:val="swiss"/>
    <w:pitch w:val="variable"/>
    <w:sig w:usb0="00000287" w:usb1="00000800" w:usb2="00000000" w:usb3="00000000" w:csb0="0000009F" w:csb1="00000000"/>
    <w:embedRegular r:id="rId5" w:fontKey="{DB2CEE99-5A39-46D0-9B69-E435F0A8166D}"/>
    <w:embedBold r:id="rId6" w:fontKey="{16D6857A-8443-4C84-90AF-A14892C5ECF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7A370" w14:textId="77777777" w:rsidR="003511ED" w:rsidRDefault="00000000">
    <w:pPr>
      <w:pBdr>
        <w:top w:val="nil"/>
        <w:left w:val="nil"/>
        <w:bottom w:val="nil"/>
        <w:right w:val="nil"/>
        <w:between w:val="nil"/>
      </w:pBdr>
      <w:tabs>
        <w:tab w:val="center" w:pos="4419"/>
        <w:tab w:val="right" w:pos="8838"/>
      </w:tabs>
      <w:jc w:val="right"/>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sidR="000267A4">
      <w:rPr>
        <w:noProof/>
        <w:color w:val="000000"/>
        <w:sz w:val="16"/>
        <w:szCs w:val="16"/>
      </w:rPr>
      <w:t>1</w:t>
    </w:r>
    <w:r>
      <w:rPr>
        <w:color w:val="000000"/>
        <w:sz w:val="16"/>
        <w:szCs w:val="16"/>
      </w:rPr>
      <w:fldChar w:fldCharType="end"/>
    </w:r>
  </w:p>
  <w:p w14:paraId="48C5D3AF" w14:textId="77777777" w:rsidR="003511ED" w:rsidRDefault="003511ED">
    <w:pPr>
      <w:pBdr>
        <w:top w:val="nil"/>
        <w:left w:val="nil"/>
        <w:bottom w:val="nil"/>
        <w:right w:val="nil"/>
        <w:between w:val="nil"/>
      </w:pBdr>
      <w:tabs>
        <w:tab w:val="center" w:pos="4419"/>
        <w:tab w:val="right" w:pos="8838"/>
      </w:tabs>
      <w:rPr>
        <w:color w:val="000000"/>
      </w:rPr>
    </w:pPr>
  </w:p>
  <w:p w14:paraId="6856ABCD" w14:textId="77777777" w:rsidR="003511ED" w:rsidRDefault="003511ED">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76D40" w14:textId="77777777" w:rsidR="003A64DC" w:rsidRDefault="003A64DC">
      <w:r>
        <w:separator/>
      </w:r>
    </w:p>
  </w:footnote>
  <w:footnote w:type="continuationSeparator" w:id="0">
    <w:p w14:paraId="06A2BE8C" w14:textId="77777777" w:rsidR="003A64DC" w:rsidRDefault="003A64DC">
      <w:r>
        <w:continuationSeparator/>
      </w:r>
    </w:p>
  </w:footnote>
  <w:footnote w:id="1">
    <w:p w14:paraId="3BBE9822" w14:textId="77777777" w:rsidR="003511ED" w:rsidRDefault="00000000">
      <w:pPr>
        <w:jc w:val="both"/>
        <w:rPr>
          <w:i/>
          <w:iCs/>
          <w:sz w:val="18"/>
          <w:szCs w:val="18"/>
        </w:rPr>
      </w:pPr>
      <w:r>
        <w:rPr>
          <w:vertAlign w:val="superscript"/>
        </w:rPr>
        <w:footnoteRef/>
      </w:r>
      <w:r>
        <w:rPr>
          <w:rFonts w:ascii="Times New Roman" w:eastAsia="Times New Roman" w:hAnsi="Times New Roman" w:cs="Times New Roman"/>
          <w:sz w:val="18"/>
          <w:szCs w:val="18"/>
        </w:rPr>
        <w:t xml:space="preserve"> </w:t>
      </w:r>
      <w:r>
        <w:rPr>
          <w:rFonts w:ascii="Times New Roman" w:eastAsia="Times New Roman" w:hAnsi="Times New Roman" w:cs="Times New Roman"/>
          <w:b/>
          <w:bCs/>
          <w:i/>
          <w:iCs/>
          <w:sz w:val="22"/>
          <w:szCs w:val="22"/>
        </w:rPr>
        <w:t xml:space="preserve">Artículo 12. </w:t>
      </w:r>
      <w:r>
        <w:rPr>
          <w:rFonts w:ascii="Times New Roman" w:eastAsia="Times New Roman" w:hAnsi="Times New Roman" w:cs="Times New Roman"/>
          <w:i/>
          <w:iCs/>
          <w:sz w:val="22"/>
          <w:szCs w:val="22"/>
        </w:rPr>
        <w:t>El quejoso y el tercero interesado podrán autorizar para oír notificaciones en su nombre, a cualquier persona con capacidad legal, quien quedará facultada para interponer los recursos que procedan, ofrecer y rendir pruebas, alegar en las audiencias, solicitar su suspensión o diferimiento y realizar cualquier acto que resulte ser necesario para la defensa de los derechos del autorizante, pero no podrá substituir o delegar dichas facultades en un tercero.</w:t>
      </w:r>
    </w:p>
  </w:footnote>
  <w:footnote w:id="2">
    <w:p w14:paraId="673E1CEE" w14:textId="77777777" w:rsidR="00F47EEC" w:rsidRDefault="00F47EEC" w:rsidP="00F47EEC">
      <w:pPr>
        <w:jc w:val="both"/>
        <w:rPr>
          <w:rFonts w:ascii="Arial Narrow" w:eastAsia="Arial Narrow" w:hAnsi="Arial Narrow" w:cs="Arial Narrow"/>
          <w:color w:val="212529"/>
          <w:sz w:val="12"/>
          <w:szCs w:val="12"/>
        </w:rPr>
      </w:pPr>
      <w:r>
        <w:rPr>
          <w:vertAlign w:val="superscript"/>
        </w:rPr>
        <w:footnoteRef/>
      </w:r>
      <w:r>
        <w:rPr>
          <w:sz w:val="20"/>
          <w:szCs w:val="20"/>
        </w:rPr>
        <w:t xml:space="preserve"> </w:t>
      </w:r>
      <w:r>
        <w:rPr>
          <w:sz w:val="12"/>
          <w:szCs w:val="12"/>
        </w:rPr>
        <w:t xml:space="preserve"> </w:t>
      </w:r>
      <w:r>
        <w:rPr>
          <w:rFonts w:ascii="Arial Narrow" w:eastAsia="Arial Narrow" w:hAnsi="Arial Narrow" w:cs="Arial Narrow"/>
          <w:color w:val="212529"/>
          <w:sz w:val="12"/>
          <w:szCs w:val="12"/>
        </w:rPr>
        <w:t xml:space="preserve">Hechos: Unos agentes de la policía acudieron al domicilio de una persona para que compareciera ante el ministerio público en relación con una carpeta de investigación. En ese momento, la persona buscada no se encontraba en el inmueble, por lo que le comentaron a su vecina el motivo de su visita. Posteriormente, el particular acudió a la fiscalía a solicitar acceso a la carpeta de investigación, pero el fiscal le negó dicha petición debido a que no se encontraba detenido, no había sido citado para una entrevista o para declarar, ni fue sujeto de un acto de molestia, con fundamento en los artículos </w:t>
      </w:r>
      <w:r>
        <w:rPr>
          <w:rFonts w:ascii="Arial Narrow" w:eastAsia="Arial Narrow" w:hAnsi="Arial Narrow" w:cs="Arial Narrow"/>
          <w:b/>
          <w:bCs/>
          <w:color w:val="007BFF"/>
          <w:sz w:val="12"/>
          <w:szCs w:val="12"/>
          <w:u w:val="single"/>
        </w:rPr>
        <w:t xml:space="preserve">113, fracción VIII, y 218 del Código Nacional de Procedimientos </w:t>
      </w:r>
      <w:proofErr w:type="spellStart"/>
      <w:r>
        <w:rPr>
          <w:rFonts w:ascii="Arial Narrow" w:eastAsia="Arial Narrow" w:hAnsi="Arial Narrow" w:cs="Arial Narrow"/>
          <w:b/>
          <w:bCs/>
          <w:color w:val="007BFF"/>
          <w:sz w:val="12"/>
          <w:szCs w:val="12"/>
          <w:u w:val="single"/>
        </w:rPr>
        <w:t>Penales</w:t>
      </w:r>
      <w:r>
        <w:rPr>
          <w:rFonts w:ascii="Arial Narrow" w:eastAsia="Arial Narrow" w:hAnsi="Arial Narrow" w:cs="Arial Narrow"/>
          <w:color w:val="212529"/>
          <w:sz w:val="12"/>
          <w:szCs w:val="12"/>
        </w:rPr>
        <w:t>.En</w:t>
      </w:r>
      <w:proofErr w:type="spellEnd"/>
      <w:r>
        <w:rPr>
          <w:rFonts w:ascii="Arial Narrow" w:eastAsia="Arial Narrow" w:hAnsi="Arial Narrow" w:cs="Arial Narrow"/>
          <w:color w:val="212529"/>
          <w:sz w:val="12"/>
          <w:szCs w:val="12"/>
        </w:rPr>
        <w:t xml:space="preserve"> contra de dicha determinación, la persona que sufrió el acto de molestia promovió un juicio de amparo indirecto, en el que reclamó la inconstitucionalidad de los artículos referidos. El Juez de Distrito sobreseyó por falta de interés jurídico. No obstante, en el recurso de revisión interpuesto en contra de dicha resolución, el Tribunal Colegiado de Circuito revocó el sobreseimiento y remitió el asunto a la Suprema Corte de Justicia de la Nación para resolver el problema de constitucionalidad planteado.</w:t>
      </w:r>
    </w:p>
    <w:p w14:paraId="54E8C19C" w14:textId="77777777" w:rsidR="00F47EEC" w:rsidRDefault="00F47EEC" w:rsidP="00F47EEC">
      <w:pPr>
        <w:jc w:val="both"/>
        <w:rPr>
          <w:rFonts w:ascii="Arial Narrow" w:eastAsia="Arial Narrow" w:hAnsi="Arial Narrow" w:cs="Arial Narrow"/>
          <w:sz w:val="12"/>
          <w:szCs w:val="12"/>
        </w:rPr>
      </w:pPr>
    </w:p>
    <w:p w14:paraId="00584DC6" w14:textId="77777777" w:rsidR="00F47EEC" w:rsidRDefault="00F47EEC" w:rsidP="00F47EEC">
      <w:pPr>
        <w:shd w:val="clear" w:color="auto" w:fill="FFFFFF"/>
        <w:spacing w:after="240"/>
        <w:jc w:val="both"/>
        <w:rPr>
          <w:rFonts w:ascii="Arial Narrow" w:eastAsia="Arial Narrow" w:hAnsi="Arial Narrow" w:cs="Arial Narrow"/>
          <w:sz w:val="12"/>
          <w:szCs w:val="12"/>
        </w:rPr>
      </w:pPr>
      <w:r>
        <w:rPr>
          <w:rFonts w:ascii="Arial Narrow" w:eastAsia="Arial Narrow" w:hAnsi="Arial Narrow" w:cs="Arial Narrow"/>
          <w:color w:val="212529"/>
          <w:sz w:val="12"/>
          <w:szCs w:val="12"/>
        </w:rPr>
        <w:t xml:space="preserve">Criterio jurídico: Cuando una persona es buscada en su domicilio personal o convencional con motivo de una carpeta de investigación, se actualiza un acto de molestia que vulnera los derechos a la intimidad y a la vida privada, y califica como una de las excepciones previstas por el artículo 218 del Código Nacional de Procedimientos Penales para permitirle el acceso a los registros de la investigación que se sigue en su contra, sin necesidad de que se le otorgue la calidad de imputada, ni de que esté prevista en el artículo </w:t>
      </w:r>
      <w:r>
        <w:rPr>
          <w:rFonts w:ascii="Arial Narrow" w:eastAsia="Arial Narrow" w:hAnsi="Arial Narrow" w:cs="Arial Narrow"/>
          <w:b/>
          <w:bCs/>
          <w:color w:val="007BFF"/>
          <w:sz w:val="12"/>
          <w:szCs w:val="12"/>
          <w:u w:val="single"/>
        </w:rPr>
        <w:t>266</w:t>
      </w:r>
      <w:r>
        <w:rPr>
          <w:rFonts w:ascii="Arial Narrow" w:eastAsia="Arial Narrow" w:hAnsi="Arial Narrow" w:cs="Arial Narrow"/>
          <w:color w:val="212529"/>
          <w:sz w:val="12"/>
          <w:szCs w:val="12"/>
        </w:rPr>
        <w:t xml:space="preserve"> del mismo ordenamiento. El Ministerio Público es responsable de la reserva de los registros de la investigación, de manera que si despliega un acto de molestia sobre una persona que investiga, como lo es buscarla en su domicilio para corroborar datos, o dejarle mensajes con empleados, familiares o vecinos, es la propia autoridad quien compromete dicho sigilo, pues queda obligada a permitirle a la persona el acceso a la investigación.</w:t>
      </w:r>
    </w:p>
    <w:p w14:paraId="56AC5F13" w14:textId="77777777" w:rsidR="00F47EEC" w:rsidRDefault="00F47EEC" w:rsidP="00F47EEC">
      <w:pPr>
        <w:shd w:val="clear" w:color="auto" w:fill="FFFFFF"/>
        <w:spacing w:after="240"/>
        <w:jc w:val="both"/>
        <w:rPr>
          <w:rFonts w:ascii="Arial Narrow" w:eastAsia="Arial Narrow" w:hAnsi="Arial Narrow" w:cs="Arial Narrow"/>
          <w:color w:val="212529"/>
          <w:sz w:val="12"/>
          <w:szCs w:val="12"/>
        </w:rPr>
      </w:pPr>
      <w:r>
        <w:rPr>
          <w:rFonts w:ascii="Arial Narrow" w:eastAsia="Arial Narrow" w:hAnsi="Arial Narrow" w:cs="Arial Narrow"/>
          <w:color w:val="212529"/>
          <w:sz w:val="12"/>
          <w:szCs w:val="12"/>
        </w:rPr>
        <w:t xml:space="preserve">Justificación: La Primera Sala de la Suprema Corte de Justicia de la Nación, con fundamento en los artículos </w:t>
      </w:r>
      <w:r>
        <w:rPr>
          <w:rFonts w:ascii="Arial Narrow" w:eastAsia="Arial Narrow" w:hAnsi="Arial Narrow" w:cs="Arial Narrow"/>
          <w:b/>
          <w:bCs/>
          <w:color w:val="007BFF"/>
          <w:sz w:val="12"/>
          <w:szCs w:val="12"/>
          <w:u w:val="single"/>
        </w:rPr>
        <w:t>16 de la Constitución Política de los Estados Unidos Mexicanos</w:t>
      </w:r>
      <w:r>
        <w:rPr>
          <w:rFonts w:ascii="Arial Narrow" w:eastAsia="Arial Narrow" w:hAnsi="Arial Narrow" w:cs="Arial Narrow"/>
          <w:color w:val="212529"/>
          <w:sz w:val="12"/>
          <w:szCs w:val="12"/>
        </w:rPr>
        <w:t xml:space="preserve"> y 113, fracción VIII, y 266 del Código Nacional de Procedimientos Penales, definió como actos de molestia aquellos generados por la autoridad ministerial o judicial que pueden afectar de manera arbitraria la dignidad, la intimidad personal o familiar y la vida privada de los gobernados, lo que actualiza el derecho de la persona para acceder de manera inmediata e irrestricta a la carpeta de investigación. Entre las distintas dimensiones que contemplan los derechos a la dignidad humana, a la intimidad y a la vida privada, se encuentran los derechos al honor, a la integridad física y psíquica, y el propio derecho a la privacidad, los cuales se ven vulnerados desde el momento en el que una persona es buscada en su domicilio familiar o laboral para comparecer en una carpeta de investigación. Lo anterior es así, debido a que la búsqueda de una persona por parte de una autoridad ministerial o judicial que no es localizada en su domicilio familiar o laboral, y se deja un recado con sus familiares, vecinos o compañeros de trabajo, es un acto de molestia que trasciende a su intimidad individual y familiar, pues con ello se genera un estado de incertidumbre e inseguridad jurídica que impacta en la salud física y psíquica del gobernado y de su familia, ante la zozobra de no conocer los hechos que dieron origen a la investigación en curso. Por ende, el acto de molestia consistente en la búsqueda de una persona en su domicilio particular o laboral detona el derecho de acceder a los registros de la carpeta de investigación de manera inmediata e irrestricta, con el objeto de que la persona pueda conocer sus registros y hacerse de los medios necesarios para elaborar su estrategia defensiva de manera oportuna y salvaguardar sus derechos humanos a la integridad física y psíquica, así como el derecho a la privacidad. Esto no exime a la autoridad de cumplir con su deber de haber obrado a partir de un mandamiento escrito fundado y motivado que justifique dicha búsqueda o visita, pues así lo mandata el mencionado artículo 16 de la Constitución respecto a los actos de molestia.</w:t>
      </w:r>
    </w:p>
    <w:p w14:paraId="2DC833F2" w14:textId="77777777" w:rsidR="00F47EEC" w:rsidRDefault="00F47EEC" w:rsidP="00F47EEC">
      <w:pPr>
        <w:rPr>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37E36"/>
    <w:multiLevelType w:val="multilevel"/>
    <w:tmpl w:val="854409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475486E"/>
    <w:multiLevelType w:val="multilevel"/>
    <w:tmpl w:val="F04C4F6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3EFC16A8"/>
    <w:multiLevelType w:val="multilevel"/>
    <w:tmpl w:val="A8AEAE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AC77AA5"/>
    <w:multiLevelType w:val="multilevel"/>
    <w:tmpl w:val="CB1455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B336034"/>
    <w:multiLevelType w:val="multilevel"/>
    <w:tmpl w:val="F45060A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C9E012B"/>
    <w:multiLevelType w:val="multilevel"/>
    <w:tmpl w:val="F4A878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95084982">
    <w:abstractNumId w:val="1"/>
  </w:num>
  <w:num w:numId="2" w16cid:durableId="1552226092">
    <w:abstractNumId w:val="0"/>
  </w:num>
  <w:num w:numId="3" w16cid:durableId="1762989047">
    <w:abstractNumId w:val="3"/>
  </w:num>
  <w:num w:numId="4" w16cid:durableId="152379763">
    <w:abstractNumId w:val="4"/>
  </w:num>
  <w:num w:numId="5" w16cid:durableId="635991109">
    <w:abstractNumId w:val="2"/>
  </w:num>
  <w:num w:numId="6" w16cid:durableId="3809804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1ED"/>
    <w:rsid w:val="000238BE"/>
    <w:rsid w:val="000267A4"/>
    <w:rsid w:val="00100A05"/>
    <w:rsid w:val="002B70AF"/>
    <w:rsid w:val="003511ED"/>
    <w:rsid w:val="003A46EB"/>
    <w:rsid w:val="003A64DC"/>
    <w:rsid w:val="003E039A"/>
    <w:rsid w:val="006322C7"/>
    <w:rsid w:val="00676D1F"/>
    <w:rsid w:val="00682F93"/>
    <w:rsid w:val="00746AB3"/>
    <w:rsid w:val="0077216D"/>
    <w:rsid w:val="00802B02"/>
    <w:rsid w:val="008973FD"/>
    <w:rsid w:val="008B7FDF"/>
    <w:rsid w:val="008C3ED4"/>
    <w:rsid w:val="00AC1840"/>
    <w:rsid w:val="00B325A0"/>
    <w:rsid w:val="00B42F8F"/>
    <w:rsid w:val="00B955DA"/>
    <w:rsid w:val="00C26D41"/>
    <w:rsid w:val="00EA281E"/>
    <w:rsid w:val="00F47EEC"/>
    <w:rsid w:val="00F964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B685E"/>
  <w15:docId w15:val="{DAB8D69A-CD6F-9642-8752-7C80E55A8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s-ES_tradnl"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2F5496"/>
      <w:sz w:val="32"/>
      <w:szCs w:val="32"/>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paragraph" w:customStyle="1" w:styleId="p6">
    <w:name w:val="p6"/>
    <w:basedOn w:val="Normal"/>
    <w:rsid w:val="000D2FFD"/>
    <w:pPr>
      <w:widowControl w:val="0"/>
      <w:tabs>
        <w:tab w:val="left" w:pos="243"/>
        <w:tab w:val="left" w:pos="1337"/>
      </w:tabs>
      <w:autoSpaceDE w:val="0"/>
      <w:autoSpaceDN w:val="0"/>
      <w:adjustRightInd w:val="0"/>
      <w:ind w:left="243" w:firstLine="1094"/>
    </w:pPr>
    <w:rPr>
      <w:rFonts w:ascii="Times New Roman" w:hAnsi="Times New Roman"/>
      <w:lang w:val="en-US"/>
    </w:rPr>
  </w:style>
  <w:style w:type="paragraph" w:customStyle="1" w:styleId="Estilo">
    <w:name w:val="Estilo"/>
    <w:link w:val="EstiloCar"/>
    <w:qFormat/>
    <w:rsid w:val="000D2FFD"/>
    <w:pPr>
      <w:widowControl w:val="0"/>
      <w:autoSpaceDE w:val="0"/>
      <w:autoSpaceDN w:val="0"/>
      <w:adjustRightInd w:val="0"/>
    </w:pPr>
    <w:rPr>
      <w:rFonts w:ascii="Times New Roman" w:eastAsia="Times New Roman" w:hAnsi="Times New Roman" w:cs="Times New Roman"/>
      <w:lang w:val="es-ES" w:eastAsia="es-ES"/>
    </w:rPr>
  </w:style>
  <w:style w:type="paragraph" w:styleId="Prrafodelista">
    <w:name w:val="List Paragraph"/>
    <w:aliases w:val="Cita texto,Footnote,List Paragraph1,Colorful List - Accent 11,Cuadrícula clara - Énfasis 31,TEXTO GENERAL SENTENCIAS,CNBV Parrafo1,List Paragraph,Párrafo de lista2,Párrafo de lista1,Lista media 2 - Énfasis 41"/>
    <w:basedOn w:val="Normal"/>
    <w:link w:val="PrrafodelistaCar"/>
    <w:uiPriority w:val="34"/>
    <w:qFormat/>
    <w:rsid w:val="000D2FFD"/>
    <w:pPr>
      <w:ind w:left="720"/>
      <w:contextualSpacing/>
    </w:pPr>
  </w:style>
  <w:style w:type="paragraph" w:styleId="Textonotapie">
    <w:name w:val="footnote text"/>
    <w:aliases w:val="Footnote Text Char Char Char Char Char,Footnote Text Char Char Char Char,Footnote reference,FA Fu Car,FA Fu,Footnote Text Char Char Char,Footnote Text Cha,FA Fußnotentext,FA Fu?notentext,Footnote Text Char Char,Ca,Ref. de nota al pie1"/>
    <w:basedOn w:val="Normal"/>
    <w:link w:val="TextonotapieCar"/>
    <w:uiPriority w:val="99"/>
    <w:unhideWhenUsed/>
    <w:qFormat/>
    <w:rsid w:val="000D2FFD"/>
    <w:pPr>
      <w:spacing w:after="160" w:line="259" w:lineRule="auto"/>
    </w:pPr>
    <w:rPr>
      <w:rFonts w:ascii="Calibri" w:hAnsi="Calibri" w:cs="Calibri"/>
      <w:sz w:val="20"/>
      <w:lang w:val="es-MX" w:eastAsia="en-US"/>
    </w:rPr>
  </w:style>
  <w:style w:type="character" w:customStyle="1" w:styleId="TextonotapieCar">
    <w:name w:val="Texto nota pie Car"/>
    <w:aliases w:val="Footnote Text Char Char Char Char Char Car,Footnote Text Char Char Char Char Car,Footnote reference Car,FA Fu Car Car,FA Fu Car1,Footnote Text Char Char Char Car,Footnote Text Cha Car,FA Fußnotentext Car,FA Fu?notentext Car,Ca Car"/>
    <w:basedOn w:val="Fuentedeprrafopredeter"/>
    <w:link w:val="Textonotapie"/>
    <w:uiPriority w:val="99"/>
    <w:rsid w:val="000D2FFD"/>
    <w:rPr>
      <w:rFonts w:ascii="Calibri" w:eastAsia="Times New Roman" w:hAnsi="Calibri" w:cs="Calibri"/>
      <w:sz w:val="20"/>
      <w:szCs w:val="20"/>
    </w:rPr>
  </w:style>
  <w:style w:type="character" w:styleId="Refdenotaalpie">
    <w:name w:val="footnote reference"/>
    <w:aliases w:val="Texto de nota al pie,Ref. de nota al pie 2,Footnotes refss,Appel note de bas de page,Footnote number,referencia nota al pie,BVI fnr,f,Ref,de nota al pie,4_G,16 Point,Superscript 6 Point,Footnote Reference Char3,Texto nota al pie,ftre"/>
    <w:basedOn w:val="Fuentedeprrafopredeter"/>
    <w:link w:val="4GChar"/>
    <w:uiPriority w:val="99"/>
    <w:unhideWhenUsed/>
    <w:qFormat/>
    <w:rsid w:val="000D2FFD"/>
    <w:rPr>
      <w:vertAlign w:val="superscript"/>
    </w:rPr>
  </w:style>
  <w:style w:type="paragraph" w:styleId="Piedepgina">
    <w:name w:val="footer"/>
    <w:basedOn w:val="Normal"/>
    <w:link w:val="PiedepginaCar"/>
    <w:uiPriority w:val="99"/>
    <w:unhideWhenUsed/>
    <w:rsid w:val="000D2FFD"/>
    <w:pPr>
      <w:tabs>
        <w:tab w:val="center" w:pos="4419"/>
        <w:tab w:val="right" w:pos="8838"/>
      </w:tabs>
    </w:pPr>
  </w:style>
  <w:style w:type="character" w:customStyle="1" w:styleId="PiedepginaCar">
    <w:name w:val="Pie de página Car"/>
    <w:basedOn w:val="Fuentedeprrafopredeter"/>
    <w:link w:val="Piedepgina"/>
    <w:uiPriority w:val="99"/>
    <w:rsid w:val="000D2FFD"/>
    <w:rPr>
      <w:rFonts w:ascii="Arial" w:eastAsia="Times New Roman" w:hAnsi="Arial" w:cs="Times New Roman"/>
      <w:sz w:val="24"/>
      <w:szCs w:val="20"/>
      <w:lang w:val="es-ES_tradnl" w:eastAsia="es-ES"/>
    </w:rPr>
  </w:style>
  <w:style w:type="character" w:styleId="Hipervnculo">
    <w:name w:val="Hyperlink"/>
    <w:basedOn w:val="Fuentedeprrafopredeter"/>
    <w:uiPriority w:val="99"/>
    <w:unhideWhenUsed/>
    <w:rsid w:val="000D2FFD"/>
    <w:rPr>
      <w:color w:val="0000FF"/>
      <w:u w:val="single"/>
    </w:rPr>
  </w:style>
  <w:style w:type="paragraph" w:styleId="Encabezado">
    <w:name w:val="header"/>
    <w:basedOn w:val="Normal"/>
    <w:link w:val="EncabezadoCar"/>
    <w:uiPriority w:val="99"/>
    <w:unhideWhenUsed/>
    <w:rsid w:val="0089263A"/>
    <w:pPr>
      <w:tabs>
        <w:tab w:val="center" w:pos="4252"/>
        <w:tab w:val="right" w:pos="8504"/>
      </w:tabs>
    </w:pPr>
  </w:style>
  <w:style w:type="character" w:customStyle="1" w:styleId="EncabezadoCar">
    <w:name w:val="Encabezado Car"/>
    <w:basedOn w:val="Fuentedeprrafopredeter"/>
    <w:link w:val="Encabezado"/>
    <w:uiPriority w:val="99"/>
    <w:rsid w:val="0089263A"/>
    <w:rPr>
      <w:rFonts w:ascii="Arial" w:eastAsia="Times New Roman" w:hAnsi="Arial" w:cs="Times New Roman"/>
      <w:sz w:val="24"/>
      <w:szCs w:val="20"/>
      <w:lang w:val="es-ES_tradnl" w:eastAsia="es-ES"/>
    </w:rPr>
  </w:style>
  <w:style w:type="character" w:customStyle="1" w:styleId="Mencinsinresolver1">
    <w:name w:val="Mención sin resolver1"/>
    <w:basedOn w:val="Fuentedeprrafopredeter"/>
    <w:uiPriority w:val="99"/>
    <w:semiHidden/>
    <w:unhideWhenUsed/>
    <w:rsid w:val="00B217AC"/>
    <w:rPr>
      <w:color w:val="808080"/>
      <w:shd w:val="clear" w:color="auto" w:fill="E6E6E6"/>
    </w:rPr>
  </w:style>
  <w:style w:type="paragraph" w:styleId="NormalWeb">
    <w:name w:val="Normal (Web)"/>
    <w:basedOn w:val="Normal"/>
    <w:uiPriority w:val="99"/>
    <w:semiHidden/>
    <w:unhideWhenUsed/>
    <w:rsid w:val="00954980"/>
    <w:pPr>
      <w:spacing w:before="100" w:beforeAutospacing="1" w:after="100" w:afterAutospacing="1"/>
    </w:pPr>
    <w:rPr>
      <w:rFonts w:ascii="Times New Roman" w:hAnsi="Times New Roman"/>
      <w:lang w:val="es-MX"/>
    </w:rPr>
  </w:style>
  <w:style w:type="paragraph" w:styleId="Textodeglobo">
    <w:name w:val="Balloon Text"/>
    <w:basedOn w:val="Normal"/>
    <w:link w:val="TextodegloboCar"/>
    <w:uiPriority w:val="99"/>
    <w:semiHidden/>
    <w:unhideWhenUsed/>
    <w:rsid w:val="00570BA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70BAF"/>
    <w:rPr>
      <w:rFonts w:ascii="Segoe UI" w:eastAsia="Times New Roman" w:hAnsi="Segoe UI" w:cs="Segoe UI"/>
      <w:sz w:val="18"/>
      <w:szCs w:val="18"/>
      <w:lang w:val="es-ES_tradnl" w:eastAsia="es-ES"/>
    </w:rPr>
  </w:style>
  <w:style w:type="character" w:customStyle="1" w:styleId="EstiloCar">
    <w:name w:val="Estilo Car"/>
    <w:basedOn w:val="Fuentedeprrafopredeter"/>
    <w:link w:val="Estilo"/>
    <w:rsid w:val="00EE645F"/>
    <w:rPr>
      <w:rFonts w:ascii="Times New Roman" w:eastAsia="Times New Roman" w:hAnsi="Times New Roman" w:cs="Times New Roman"/>
      <w:sz w:val="24"/>
      <w:szCs w:val="24"/>
      <w:lang w:val="es-ES" w:eastAsia="es-ES"/>
    </w:rPr>
  </w:style>
  <w:style w:type="paragraph" w:customStyle="1" w:styleId="Texto">
    <w:name w:val="Texto"/>
    <w:basedOn w:val="Normal"/>
    <w:link w:val="TextoCar"/>
    <w:rsid w:val="00114DDA"/>
    <w:pPr>
      <w:spacing w:after="101" w:line="216" w:lineRule="exact"/>
      <w:ind w:firstLine="288"/>
      <w:jc w:val="both"/>
    </w:pPr>
    <w:rPr>
      <w:sz w:val="18"/>
      <w:lang w:val="es-ES"/>
    </w:rPr>
  </w:style>
  <w:style w:type="character" w:customStyle="1" w:styleId="TextoCar">
    <w:name w:val="Texto Car"/>
    <w:link w:val="Texto"/>
    <w:locked/>
    <w:rsid w:val="00114DDA"/>
    <w:rPr>
      <w:rFonts w:ascii="Arial" w:eastAsia="Times New Roman" w:hAnsi="Arial" w:cs="Arial"/>
      <w:sz w:val="18"/>
      <w:szCs w:val="20"/>
      <w:lang w:val="es-ES"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5C6F02"/>
    <w:pPr>
      <w:jc w:val="both"/>
    </w:pPr>
    <w:rPr>
      <w:rFonts w:asciiTheme="minorHAnsi" w:eastAsiaTheme="minorHAnsi" w:hAnsiTheme="minorHAnsi" w:cstheme="minorBidi"/>
      <w:sz w:val="22"/>
      <w:szCs w:val="22"/>
      <w:vertAlign w:val="superscript"/>
      <w:lang w:val="es-MX" w:eastAsia="en-US"/>
    </w:rPr>
  </w:style>
  <w:style w:type="character" w:customStyle="1" w:styleId="PrrafodelistaCar">
    <w:name w:val="Párrafo de lista Car"/>
    <w:aliases w:val="Cita texto Car,Footnote Car,List Paragraph1 Car,Colorful List - Accent 11 Car,Cuadrícula clara - Énfasis 31 Car,TEXTO GENERAL SENTENCIAS Car,CNBV Parrafo1 Car,List Paragraph Car,Párrafo de lista2 Car,Párrafo de lista1 Car"/>
    <w:link w:val="Prrafodelista"/>
    <w:uiPriority w:val="34"/>
    <w:locked/>
    <w:rsid w:val="00A66AF8"/>
    <w:rPr>
      <w:rFonts w:ascii="Arial" w:eastAsia="Times New Roman" w:hAnsi="Arial" w:cs="Times New Roman"/>
      <w:sz w:val="24"/>
      <w:szCs w:val="20"/>
      <w:lang w:val="es-ES_tradnl" w:eastAsia="es-ES"/>
    </w:rPr>
  </w:style>
  <w:style w:type="character" w:customStyle="1" w:styleId="Ninguno">
    <w:name w:val="Ninguno"/>
    <w:rsid w:val="00D45BA9"/>
    <w:rPr>
      <w:lang w:val="pt-PT"/>
    </w:rPr>
  </w:style>
  <w:style w:type="character" w:customStyle="1" w:styleId="Hyperlink0">
    <w:name w:val="Hyperlink.0"/>
    <w:basedOn w:val="Fuentedeprrafopredeter"/>
    <w:rsid w:val="00D45BA9"/>
    <w:rPr>
      <w:rFonts w:ascii="Arial" w:eastAsia="Arial" w:hAnsi="Arial" w:cs="Arial"/>
      <w:outline w:val="0"/>
      <w:color w:val="0563C1"/>
      <w:sz w:val="24"/>
      <w:szCs w:val="24"/>
      <w:u w:val="single" w:color="0563C1"/>
      <w:lang w:val="es-ES_tradnl"/>
    </w:rPr>
  </w:style>
  <w:style w:type="character" w:styleId="Mencinsinresolver">
    <w:name w:val="Unresolved Mention"/>
    <w:basedOn w:val="Fuentedeprrafopredeter"/>
    <w:uiPriority w:val="99"/>
    <w:semiHidden/>
    <w:unhideWhenUsed/>
    <w:rsid w:val="00E35C62"/>
    <w:rPr>
      <w:color w:val="605E5C"/>
      <w:shd w:val="clear" w:color="auto" w:fill="E1DFDD"/>
    </w:rPr>
  </w:style>
  <w:style w:type="character" w:customStyle="1" w:styleId="Ttulo1Car">
    <w:name w:val="Título 1 Car"/>
    <w:basedOn w:val="Fuentedeprrafopredeter"/>
    <w:uiPriority w:val="9"/>
    <w:rsid w:val="007A1828"/>
    <w:rPr>
      <w:rFonts w:asciiTheme="majorHAnsi" w:eastAsiaTheme="majorEastAsia" w:hAnsiTheme="majorHAnsi" w:cstheme="majorBidi"/>
      <w:color w:val="2F5496" w:themeColor="accent1" w:themeShade="BF"/>
      <w:sz w:val="32"/>
      <w:szCs w:val="32"/>
      <w:lang w:val="es-ES_tradnl" w:eastAsia="es-ES"/>
    </w:rPr>
  </w:style>
  <w:style w:type="table" w:customStyle="1" w:styleId="a">
    <w:basedOn w:val="TableNormal0"/>
    <w:tblPr>
      <w:tblStyleRowBandSize w:val="1"/>
      <w:tblStyleColBandSize w:val="1"/>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notificaciones@cejum.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lvaro_pegueros@hotmail.com" TargetMode="External"/><Relationship Id="rId4" Type="http://schemas.openxmlformats.org/officeDocument/2006/relationships/settings" Target="settings.xml"/><Relationship Id="rId9" Type="http://schemas.openxmlformats.org/officeDocument/2006/relationships/hyperlink" Target="mailto:mearceomis@gmail.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FfAXoQGzSxws2RyzIGzBTC4Rjg==">CgMxLjA4AHIhMWN6bDBpc29kVzViaGtIX09jWTVPX3VIcUpkQkgwQTF1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Pages>
  <Words>4195</Words>
  <Characters>23073</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Pasante 3</dc:creator>
  <cp:lastModifiedBy>Maria Arceo</cp:lastModifiedBy>
  <cp:revision>9</cp:revision>
  <cp:lastPrinted>2026-05-24T02:27:00Z</cp:lastPrinted>
  <dcterms:created xsi:type="dcterms:W3CDTF">2026-05-23T03:59:00Z</dcterms:created>
  <dcterms:modified xsi:type="dcterms:W3CDTF">2026-05-24T02:27:00Z</dcterms:modified>
</cp:coreProperties>
</file>